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"/>
        <w:outlineLvl w:val="9"/>
        <w:rPr>
          <w:rFonts w:asciiTheme="majorEastAsia" w:hAnsiTheme="majorEastAsia"/>
          <w:sz w:val="84"/>
          <w:szCs w:val="84"/>
        </w:rPr>
      </w:pPr>
      <w:bookmarkStart w:id="0" w:name="_Hlk22295737"/>
      <w:bookmarkEnd w:id="0"/>
    </w:p>
    <w:p>
      <w:pPr>
        <w:pStyle w:val="11"/>
        <w:rPr>
          <w:rFonts w:hint="eastAsia" w:ascii="宋体" w:hAnsi="宋体" w:eastAsia="宋体" w:cs="宋体"/>
          <w:sz w:val="72"/>
          <w:szCs w:val="72"/>
          <w:lang w:val="en-US" w:eastAsia="zh-CN"/>
        </w:rPr>
      </w:pPr>
      <w:bookmarkStart w:id="1" w:name="_Toc15376"/>
      <w:bookmarkStart w:id="2" w:name="_Toc5706"/>
      <w:bookmarkStart w:id="3" w:name="_Toc18592"/>
      <w:bookmarkStart w:id="4" w:name="_Toc3182"/>
      <w:r>
        <w:rPr>
          <w:rFonts w:hint="eastAsia" w:ascii="宋体" w:hAnsi="宋体" w:eastAsia="宋体" w:cs="宋体"/>
          <w:sz w:val="72"/>
          <w:szCs w:val="72"/>
          <w:lang w:val="en-US" w:eastAsia="zh-CN"/>
        </w:rPr>
        <w:t>“办事大厅”</w:t>
      </w:r>
      <w:bookmarkEnd w:id="1"/>
      <w:bookmarkStart w:id="5" w:name="_Toc32457"/>
      <w:r>
        <w:rPr>
          <w:rFonts w:hint="eastAsia" w:ascii="宋体" w:hAnsi="宋体" w:eastAsia="宋体" w:cs="宋体"/>
          <w:sz w:val="72"/>
          <w:szCs w:val="72"/>
          <w:lang w:val="en-US" w:eastAsia="zh-CN"/>
        </w:rPr>
        <w:t>电脑端</w:t>
      </w:r>
      <w:bookmarkEnd w:id="2"/>
      <w:bookmarkEnd w:id="3"/>
      <w:bookmarkEnd w:id="4"/>
    </w:p>
    <w:p>
      <w:pPr>
        <w:pStyle w:val="11"/>
        <w:rPr>
          <w:rFonts w:hint="eastAsia" w:ascii="宋体" w:hAnsi="宋体" w:eastAsia="宋体" w:cs="宋体"/>
          <w:sz w:val="84"/>
          <w:szCs w:val="84"/>
        </w:rPr>
      </w:pPr>
      <w:bookmarkStart w:id="6" w:name="_Toc19693"/>
      <w:bookmarkStart w:id="7" w:name="_Toc27655"/>
      <w:bookmarkStart w:id="8" w:name="_Toc2566"/>
      <w:r>
        <w:rPr>
          <w:rFonts w:hint="eastAsia" w:ascii="宋体" w:hAnsi="宋体" w:eastAsia="宋体" w:cs="宋体"/>
          <w:sz w:val="72"/>
          <w:szCs w:val="72"/>
        </w:rPr>
        <w:t>操作手册</w:t>
      </w:r>
      <w:bookmarkEnd w:id="5"/>
      <w:bookmarkEnd w:id="6"/>
      <w:bookmarkEnd w:id="7"/>
      <w:bookmarkEnd w:id="8"/>
    </w:p>
    <w:p/>
    <w:p/>
    <w:p/>
    <w:p/>
    <w:p/>
    <w:p/>
    <w:p/>
    <w:p/>
    <w:p/>
    <w:p/>
    <w:p/>
    <w:p/>
    <w:p/>
    <w:p/>
    <w:p/>
    <w:p/>
    <w:p/>
    <w:p/>
    <w:p/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二〇二〇年一月</w:t>
      </w:r>
    </w:p>
    <w:p>
      <w:pPr>
        <w:pStyle w:val="11"/>
        <w:outlineLvl w:val="9"/>
        <w:rPr>
          <w:rFonts w:asciiTheme="majorEastAsia" w:hAnsiTheme="majorEastAsia"/>
          <w:sz w:val="84"/>
          <w:szCs w:val="84"/>
        </w:rPr>
      </w:pPr>
    </w:p>
    <w:p>
      <w:pPr>
        <w:rPr>
          <w:rFonts w:asciiTheme="majorEastAsia" w:hAnsiTheme="majorEastAsia"/>
          <w:sz w:val="84"/>
          <w:szCs w:val="84"/>
        </w:rPr>
      </w:pPr>
    </w:p>
    <w:p>
      <w:pPr>
        <w:rPr>
          <w:rFonts w:asciiTheme="majorEastAsia" w:hAnsiTheme="majorEastAsia"/>
          <w:sz w:val="84"/>
          <w:szCs w:val="84"/>
        </w:rPr>
      </w:pPr>
    </w:p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47481194"/>
        <w15:color w:val="DBDBDB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sz w:val="52"/>
              <w:szCs w:val="52"/>
            </w:rPr>
          </w:pPr>
          <w:r>
            <w:rPr>
              <w:rFonts w:ascii="宋体" w:hAnsi="宋体" w:eastAsia="宋体"/>
              <w:b/>
              <w:bCs/>
              <w:sz w:val="52"/>
              <w:szCs w:val="52"/>
            </w:rPr>
            <w:t>目录</w:t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_Toc20563 </w:instrText>
          </w:r>
          <w:r>
            <w:fldChar w:fldCharType="separate"/>
          </w:r>
          <w:r>
            <w:rPr>
              <w:rFonts w:hint="default" w:ascii="宋体" w:hAnsi="宋体" w:eastAsia="宋体" w:cs="宋体"/>
            </w:rPr>
            <w:t xml:space="preserve">一、 </w:t>
          </w:r>
          <w:r>
            <w:rPr>
              <w:rFonts w:hint="eastAsia" w:ascii="宋体" w:hAnsi="宋体" w:eastAsia="宋体" w:cs="宋体"/>
            </w:rPr>
            <w:t>浏览器操作</w:t>
          </w:r>
          <w:r>
            <w:tab/>
          </w:r>
          <w:r>
            <w:fldChar w:fldCharType="begin"/>
          </w:r>
          <w:r>
            <w:instrText xml:space="preserve"> PAGEREF _Toc20563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_Toc18889 </w:instrText>
          </w:r>
          <w:r>
            <w:fldChar w:fldCharType="separate"/>
          </w:r>
          <w:r>
            <w:rPr>
              <w:rFonts w:hint="default" w:ascii="宋体" w:hAnsi="宋体" w:eastAsia="宋体" w:cs="宋体"/>
            </w:rPr>
            <w:t xml:space="preserve">1. </w:t>
          </w:r>
          <w:r>
            <w:rPr>
              <w:rFonts w:hint="eastAsia" w:ascii="宋体" w:hAnsi="宋体" w:eastAsia="宋体" w:cs="宋体"/>
            </w:rPr>
            <w:t>系统登录</w:t>
          </w:r>
          <w:r>
            <w:tab/>
          </w:r>
          <w:r>
            <w:fldChar w:fldCharType="begin"/>
          </w:r>
          <w:r>
            <w:instrText xml:space="preserve"> PAGEREF _Toc18889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_Toc12450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lang w:val="en-US" w:eastAsia="zh-CN"/>
            </w:rPr>
            <w:t xml:space="preserve">2. </w:t>
          </w:r>
          <w:r>
            <w:rPr>
              <w:rFonts w:hint="eastAsia" w:ascii="宋体" w:hAnsi="宋体" w:eastAsia="宋体" w:cs="宋体"/>
              <w:lang w:val="en-US" w:eastAsia="zh-CN"/>
            </w:rPr>
            <w:t>绑定手机号码与修改密码</w:t>
          </w:r>
          <w:r>
            <w:tab/>
          </w:r>
          <w:r>
            <w:fldChar w:fldCharType="begin"/>
          </w:r>
          <w:r>
            <w:instrText xml:space="preserve"> PAGEREF _Toc12450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_Toc28570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二、 </w:t>
          </w:r>
          <w:r>
            <w:rPr>
              <w:rFonts w:hint="eastAsia"/>
              <w:lang w:val="en-US" w:eastAsia="zh-CN"/>
            </w:rPr>
            <w:t>各项菜单功能介绍</w:t>
          </w:r>
          <w:r>
            <w:tab/>
          </w:r>
          <w:r>
            <w:fldChar w:fldCharType="begin"/>
          </w:r>
          <w:r>
            <w:instrText xml:space="preserve"> PAGEREF _Toc28570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_Toc20631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1.【个人中心】菜单</w:t>
          </w:r>
          <w:r>
            <w:tab/>
          </w:r>
          <w:r>
            <w:fldChar w:fldCharType="begin"/>
          </w:r>
          <w:r>
            <w:instrText xml:space="preserve"> PAGEREF _Toc20631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_Toc10912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1.1短信发送和邮件发送</w:t>
          </w:r>
          <w:r>
            <w:tab/>
          </w:r>
          <w:r>
            <w:fldChar w:fldCharType="begin"/>
          </w:r>
          <w:r>
            <w:instrText xml:space="preserve"> PAGEREF _Toc10912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_Toc24954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1.2常用链接、通讯录</w:t>
          </w:r>
          <w:r>
            <w:tab/>
          </w:r>
          <w:r>
            <w:fldChar w:fldCharType="begin"/>
          </w:r>
          <w:r>
            <w:instrText xml:space="preserve"> PAGEREF _Toc24954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_Toc31293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1.3通知公告和一周会议</w:t>
          </w:r>
          <w:r>
            <w:tab/>
          </w:r>
          <w:r>
            <w:fldChar w:fldCharType="begin"/>
          </w:r>
          <w:r>
            <w:instrText xml:space="preserve"> PAGEREF _Toc31293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_Toc4978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1.4 oa邮箱</w:t>
          </w:r>
          <w:r>
            <w:tab/>
          </w:r>
          <w:r>
            <w:fldChar w:fldCharType="begin"/>
          </w:r>
          <w:r>
            <w:instrText xml:space="preserve"> PAGEREF _Toc4978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_Toc2821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2.【服务中心】菜单</w:t>
          </w:r>
          <w:r>
            <w:tab/>
          </w:r>
          <w:r>
            <w:fldChar w:fldCharType="begin"/>
          </w:r>
          <w:r>
            <w:instrText xml:space="preserve"> PAGEREF _Toc2821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  <w:ind w:firstLine="210" w:firstLineChars="100"/>
          </w:pPr>
          <w:r>
            <w:fldChar w:fldCharType="begin"/>
          </w:r>
          <w:r>
            <w:instrText xml:space="preserve"> HYPERLINK \l _Toc20906 </w:instrText>
          </w:r>
          <w:r>
            <w:fldChar w:fldCharType="separate"/>
          </w:r>
          <w:r>
            <w:rPr>
              <w:rFonts w:hint="eastAsia" w:asciiTheme="majorEastAsia" w:hAnsiTheme="majorEastAsia"/>
              <w:lang w:val="en-US" w:eastAsia="zh-CN"/>
            </w:rPr>
            <w:t>2.1</w:t>
          </w:r>
          <w:r>
            <w:rPr>
              <w:rFonts w:hint="eastAsia" w:asciiTheme="majorEastAsia" w:hAnsiTheme="majorEastAsia"/>
            </w:rPr>
            <w:t>以</w:t>
          </w:r>
          <w:r>
            <w:rPr>
              <w:rFonts w:hint="eastAsia"/>
            </w:rPr>
            <w:t>出差审批单</w:t>
          </w:r>
          <w:r>
            <w:rPr>
              <w:rFonts w:hint="eastAsia" w:asciiTheme="majorEastAsia" w:hAnsiTheme="majorEastAsia"/>
            </w:rPr>
            <w:t>为例说明</w:t>
          </w:r>
          <w:r>
            <w:tab/>
          </w:r>
          <w:r>
            <w:fldChar w:fldCharType="begin"/>
          </w:r>
          <w:r>
            <w:instrText xml:space="preserve"> PAGEREF _Toc20906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_Toc20692 </w:instrText>
          </w:r>
          <w:r>
            <w:fldChar w:fldCharType="separate"/>
          </w:r>
          <w:r>
            <w:rPr>
              <w:rFonts w:hint="eastAsia" w:asciiTheme="majorEastAsia" w:hAnsiTheme="majorEastAsia" w:eastAsiaTheme="majorEastAsia"/>
              <w:szCs w:val="28"/>
              <w:lang w:val="en-US" w:eastAsia="zh-CN"/>
            </w:rPr>
            <w:t>2</w:t>
          </w:r>
          <w:r>
            <w:rPr>
              <w:rFonts w:asciiTheme="majorEastAsia" w:hAnsiTheme="majorEastAsia" w:eastAsiaTheme="majorEastAsia"/>
              <w:szCs w:val="28"/>
            </w:rPr>
            <w:t>.1</w:t>
          </w:r>
          <w:r>
            <w:rPr>
              <w:rFonts w:hint="eastAsia" w:asciiTheme="majorEastAsia" w:hAnsiTheme="majorEastAsia" w:eastAsiaTheme="majorEastAsia"/>
              <w:szCs w:val="28"/>
              <w:lang w:val="en-US" w:eastAsia="zh-CN"/>
            </w:rPr>
            <w:t>.1</w:t>
          </w:r>
          <w:r>
            <w:rPr>
              <w:rFonts w:hint="eastAsia" w:asciiTheme="majorEastAsia" w:hAnsiTheme="majorEastAsia" w:eastAsiaTheme="majorEastAsia"/>
              <w:szCs w:val="28"/>
            </w:rPr>
            <w:t>发起出差审批单流程</w:t>
          </w:r>
          <w:r>
            <w:tab/>
          </w:r>
          <w:r>
            <w:fldChar w:fldCharType="begin"/>
          </w:r>
          <w:r>
            <w:instrText xml:space="preserve"> PAGEREF _Toc20692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_Toc2170 </w:instrText>
          </w:r>
          <w:r>
            <w:fldChar w:fldCharType="separate"/>
          </w:r>
          <w:r>
            <w:rPr>
              <w:rFonts w:hint="eastAsia" w:asciiTheme="majorEastAsia" w:hAnsiTheme="majorEastAsia" w:eastAsiaTheme="majorEastAsia"/>
              <w:szCs w:val="28"/>
              <w:lang w:val="en-US" w:eastAsia="zh-CN"/>
            </w:rPr>
            <w:t>2</w:t>
          </w:r>
          <w:r>
            <w:rPr>
              <w:rFonts w:hint="eastAsia" w:asciiTheme="majorEastAsia" w:hAnsiTheme="majorEastAsia" w:eastAsiaTheme="majorEastAsia"/>
              <w:szCs w:val="28"/>
            </w:rPr>
            <w:t>.2审批出差审批单流程</w:t>
          </w:r>
          <w:r>
            <w:tab/>
          </w:r>
          <w:r>
            <w:fldChar w:fldCharType="begin"/>
          </w:r>
          <w:r>
            <w:instrText xml:space="preserve"> PAGEREF _Toc2170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_Toc30407 </w:instrText>
          </w:r>
          <w:r>
            <w:fldChar w:fldCharType="separate"/>
          </w:r>
          <w:r>
            <w:rPr>
              <w:rFonts w:hint="eastAsia" w:asciiTheme="majorEastAsia" w:hAnsiTheme="majorEastAsia" w:eastAsiaTheme="majorEastAsia"/>
              <w:szCs w:val="28"/>
              <w:lang w:val="en-US" w:eastAsia="zh-CN"/>
            </w:rPr>
            <w:t>2</w:t>
          </w:r>
          <w:r>
            <w:rPr>
              <w:rFonts w:asciiTheme="majorEastAsia" w:hAnsiTheme="majorEastAsia" w:eastAsiaTheme="majorEastAsia"/>
              <w:szCs w:val="28"/>
            </w:rPr>
            <w:t>.3</w:t>
          </w:r>
          <w:r>
            <w:rPr>
              <w:rFonts w:hint="eastAsia" w:asciiTheme="majorEastAsia" w:hAnsiTheme="majorEastAsia" w:eastAsiaTheme="majorEastAsia"/>
              <w:szCs w:val="28"/>
            </w:rPr>
            <w:t>查询出差审批单流程</w:t>
          </w:r>
          <w:r>
            <w:tab/>
          </w:r>
          <w:r>
            <w:fldChar w:fldCharType="begin"/>
          </w:r>
          <w:r>
            <w:instrText xml:space="preserve"> PAGEREF _Toc30407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_Toc3602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3.【业务直通车】菜单</w:t>
          </w:r>
          <w:r>
            <w:tab/>
          </w:r>
          <w:r>
            <w:fldChar w:fldCharType="begin"/>
          </w:r>
          <w:r>
            <w:instrText xml:space="preserve"> PAGEREF _Toc3602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_Toc31693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 【事务中心】菜单</w:t>
          </w:r>
          <w:r>
            <w:tab/>
          </w:r>
          <w:r>
            <w:fldChar w:fldCharType="begin"/>
          </w:r>
          <w:r>
            <w:instrText xml:space="preserve"> PAGEREF _Toc31693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_Toc18741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5.【统计查询】菜单</w:t>
          </w:r>
          <w:r>
            <w:tab/>
          </w:r>
          <w:r>
            <w:fldChar w:fldCharType="begin"/>
          </w:r>
          <w:r>
            <w:instrText xml:space="preserve"> PAGEREF _Toc18741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pPr>
        <w:pStyle w:val="2"/>
        <w:numPr>
          <w:ilvl w:val="0"/>
          <w:numId w:val="1"/>
        </w:numPr>
        <w:rPr>
          <w:rFonts w:hint="eastAsia" w:ascii="宋体" w:hAnsi="宋体" w:eastAsia="宋体" w:cs="宋体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9" w:name="_Toc26349"/>
    </w:p>
    <w:p>
      <w:pPr>
        <w:pStyle w:val="2"/>
        <w:numPr>
          <w:ilvl w:val="0"/>
          <w:numId w:val="1"/>
        </w:numPr>
        <w:rPr>
          <w:rFonts w:hint="eastAsia" w:ascii="宋体" w:hAnsi="宋体" w:eastAsia="宋体" w:cs="宋体"/>
        </w:rPr>
      </w:pPr>
      <w:bookmarkStart w:id="10" w:name="_Toc20563"/>
      <w:r>
        <w:rPr>
          <w:rFonts w:hint="eastAsia" w:ascii="宋体" w:hAnsi="宋体" w:eastAsia="宋体" w:cs="宋体"/>
        </w:rPr>
        <w:t>浏览器操作</w:t>
      </w:r>
      <w:bookmarkEnd w:id="9"/>
      <w:bookmarkEnd w:id="10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注：</w:t>
      </w:r>
      <w:r>
        <w:rPr>
          <w:rFonts w:hint="eastAsia"/>
          <w:b/>
          <w:bCs/>
          <w:color w:val="FF0000"/>
          <w:sz w:val="28"/>
          <w:szCs w:val="28"/>
        </w:rPr>
        <w:t>建议大家使用火狐或chrome浏览器登录系统，若使用360或360极速浏览器必须采用极速模式</w:t>
      </w:r>
      <w:r>
        <w:rPr>
          <w:rFonts w:hint="eastAsia"/>
          <w:b/>
          <w:bCs/>
          <w:color w:val="FF0000"/>
          <w:sz w:val="28"/>
          <w:szCs w:val="28"/>
          <w:lang w:eastAsia="zh-CN"/>
        </w:rPr>
        <w:t>（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注：个别老师电脑浏览器版本太低也不适用</w:t>
      </w:r>
      <w:r>
        <w:rPr>
          <w:rFonts w:hint="eastAsia"/>
          <w:b/>
          <w:bCs/>
          <w:color w:val="FF0000"/>
          <w:sz w:val="28"/>
          <w:szCs w:val="28"/>
          <w:lang w:eastAsia="zh-CN"/>
        </w:rPr>
        <w:t>）</w:t>
      </w:r>
      <w:r>
        <w:rPr>
          <w:rFonts w:hint="eastAsia"/>
          <w:b/>
          <w:bCs/>
          <w:color w:val="FF0000"/>
          <w:sz w:val="28"/>
          <w:szCs w:val="28"/>
        </w:rPr>
        <w:t>。</w:t>
      </w:r>
      <w:bookmarkStart w:id="32" w:name="_GoBack"/>
      <w:bookmarkEnd w:id="32"/>
    </w:p>
    <w:p>
      <w:pPr>
        <w:pStyle w:val="3"/>
        <w:numPr>
          <w:ilvl w:val="0"/>
          <w:numId w:val="2"/>
        </w:numPr>
        <w:rPr>
          <w:rFonts w:hint="eastAsia" w:ascii="宋体" w:hAnsi="宋体" w:eastAsia="宋体" w:cs="宋体"/>
        </w:rPr>
      </w:pPr>
      <w:bookmarkStart w:id="11" w:name="_Toc21255"/>
      <w:bookmarkStart w:id="12" w:name="_Toc18889"/>
      <w:r>
        <w:rPr>
          <w:rFonts w:hint="eastAsia" w:ascii="宋体" w:hAnsi="宋体" w:eastAsia="宋体" w:cs="宋体"/>
        </w:rPr>
        <w:t>系统登录</w:t>
      </w:r>
      <w:bookmarkEnd w:id="11"/>
      <w:bookmarkEnd w:id="12"/>
      <w:r>
        <w:rPr>
          <w:rFonts w:hint="eastAsia" w:ascii="宋体" w:hAnsi="宋体" w:eastAsia="宋体" w:cs="宋体"/>
        </w:rPr>
        <w:t xml:space="preserve"> </w:t>
      </w:r>
    </w:p>
    <w:p>
      <w:pPr>
        <w:spacing w:line="360" w:lineRule="auto"/>
        <w:ind w:firstLine="420" w:firstLineChars="200"/>
        <w:rPr>
          <w:rFonts w:hint="eastAsia"/>
        </w:rPr>
      </w:pPr>
      <w:r>
        <w:rPr>
          <w:rFonts w:hint="eastAsia"/>
        </w:rPr>
        <w:t>登录入口点击学校网站首页上方的“校务服务”或“教职员工”的“</w:t>
      </w:r>
      <w:r>
        <w:rPr>
          <w:rFonts w:hint="eastAsia"/>
          <w:lang w:val="en-US" w:eastAsia="zh-CN"/>
        </w:rPr>
        <w:t>办事大厅</w:t>
      </w:r>
      <w:r>
        <w:rPr>
          <w:rFonts w:hint="eastAsia"/>
        </w:rPr>
        <w:t>”，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如图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-1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所示。</w:t>
      </w:r>
      <w:r>
        <w:rPr>
          <w:rFonts w:hint="eastAsia"/>
        </w:rPr>
        <w:t>教职工的</w:t>
      </w:r>
      <w:r>
        <w:t>用户名为工号</w:t>
      </w:r>
      <w:r>
        <w:rPr>
          <w:rFonts w:hint="eastAsia"/>
        </w:rPr>
        <w:t>，学生的用户名为学号，</w:t>
      </w:r>
      <w:r>
        <w:rPr>
          <w:rFonts w:hint="eastAsia"/>
          <w:lang w:val="en-US" w:eastAsia="zh-CN"/>
        </w:rPr>
        <w:t>首次登录</w:t>
      </w:r>
      <w:r>
        <w:rPr>
          <w:rFonts w:hint="eastAsia"/>
        </w:rPr>
        <w:t>密码为数字化校园密码。</w:t>
      </w:r>
    </w:p>
    <w:p>
      <w:pPr>
        <w:spacing w:line="360" w:lineRule="auto"/>
        <w:ind w:firstLine="420" w:firstLineChars="200"/>
      </w:pPr>
      <w:r>
        <w:drawing>
          <wp:inline distT="0" distB="0" distL="114300" distR="114300">
            <wp:extent cx="5272405" cy="1354455"/>
            <wp:effectExtent l="0" t="0" r="10795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  <w:r>
        <w:drawing>
          <wp:inline distT="0" distB="0" distL="114300" distR="114300">
            <wp:extent cx="2389505" cy="3147695"/>
            <wp:effectExtent l="0" t="0" r="10795" b="19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0" distR="0">
            <wp:extent cx="2531110" cy="2663190"/>
            <wp:effectExtent l="0" t="0" r="889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3111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eastAsia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图表 \* ARABIC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lang w:val="en-US" w:eastAsia="zh-CN"/>
        </w:rPr>
        <w:t>-1</w:t>
      </w:r>
    </w:p>
    <w:p>
      <w:pPr>
        <w:rPr>
          <w:rFonts w:hint="default"/>
          <w:lang w:val="en-US" w:eastAsia="zh-CN"/>
        </w:rPr>
      </w:pPr>
    </w:p>
    <w:p>
      <w:pPr>
        <w:ind w:firstLine="840" w:firstLineChars="400"/>
      </w:pPr>
      <w:r>
        <w:rPr>
          <w:rFonts w:hint="eastAsia"/>
        </w:rPr>
        <w:t>用户登录成功后将显示如下的系统首页，如图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-</w:t>
      </w:r>
      <w:r>
        <w:rPr>
          <w:rFonts w:hint="eastAsia"/>
          <w:lang w:val="en-US" w:eastAsia="zh-CN"/>
        </w:rPr>
        <w:t>2</w:t>
      </w:r>
      <w:r>
        <w:t>所示。</w:t>
      </w:r>
    </w:p>
    <w:p>
      <w:pPr>
        <w:keepNext/>
        <w:ind w:firstLine="420" w:firstLineChars="200"/>
        <w:jc w:val="both"/>
      </w:pPr>
      <w:r>
        <w:drawing>
          <wp:inline distT="0" distB="0" distL="0" distR="0">
            <wp:extent cx="4993005" cy="2681605"/>
            <wp:effectExtent l="0" t="0" r="1079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93005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>图</w:t>
      </w:r>
      <w:r>
        <w:rPr>
          <w:rFonts w:hint="eastAsia"/>
          <w:lang w:val="en-US" w:eastAsia="zh-CN"/>
        </w:rPr>
        <w:t>1-</w:t>
      </w:r>
      <w:r>
        <w:t xml:space="preserve"> </w:t>
      </w:r>
      <w:r>
        <w:fldChar w:fldCharType="begin"/>
      </w:r>
      <w:r>
        <w:instrText xml:space="preserve"> SEQ 图表 \* ARABIC </w:instrText>
      </w:r>
      <w:r>
        <w:fldChar w:fldCharType="separate"/>
      </w:r>
      <w:r>
        <w:t>2</w:t>
      </w:r>
      <w:r>
        <w:fldChar w:fldCharType="end"/>
      </w:r>
    </w:p>
    <w:p>
      <w:pPr>
        <w:pStyle w:val="3"/>
        <w:numPr>
          <w:ilvl w:val="0"/>
          <w:numId w:val="2"/>
        </w:numPr>
        <w:rPr>
          <w:rFonts w:hint="eastAsia" w:ascii="宋体" w:hAnsi="宋体" w:eastAsia="宋体" w:cs="宋体"/>
          <w:lang w:val="en-US" w:eastAsia="zh-CN"/>
        </w:rPr>
      </w:pPr>
      <w:bookmarkStart w:id="13" w:name="_Toc12450"/>
      <w:r>
        <w:rPr>
          <w:rFonts w:hint="eastAsia" w:ascii="宋体" w:hAnsi="宋体" w:eastAsia="宋体" w:cs="宋体"/>
          <w:lang w:val="en-US" w:eastAsia="zh-CN"/>
        </w:rPr>
        <w:t>绑定手机号码与修改密码</w:t>
      </w:r>
      <w:bookmarkEnd w:id="13"/>
    </w:p>
    <w:p>
      <w:pPr>
        <w:numPr>
          <w:ilvl w:val="0"/>
          <w:numId w:val="3"/>
        </w:numPr>
        <w:ind w:left="420" w:leftChars="0" w:hanging="420" w:firstLineChars="0"/>
        <w:rPr>
          <w:rFonts w:hint="default" w:ascii="宋体" w:hAnsi="宋体" w:eastAsia="宋体" w:cs="宋体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30"/>
          <w:szCs w:val="30"/>
          <w:lang w:val="en-US" w:eastAsia="zh-CN" w:bidi="ar-SA"/>
        </w:rPr>
        <w:t>登录办事大厅后请点击页面右上角头像处，选择“安全中心”绑定手机号码，方便密码遗忘可通过手机验证码找回。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default" w:asciiTheme="majorEastAsia" w:hAnsiTheme="majorEastAsia" w:eastAsiaTheme="majorEastAsia" w:cstheme="majorBidi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Theme="majorEastAsia" w:hAnsiTheme="majorEastAsia" w:eastAsiaTheme="majorEastAsia" w:cstheme="majorBidi"/>
          <w:b/>
          <w:bCs/>
          <w:kern w:val="2"/>
          <w:sz w:val="30"/>
          <w:szCs w:val="30"/>
          <w:lang w:val="en-US" w:eastAsia="zh-CN" w:bidi="ar-SA"/>
        </w:rPr>
        <w:t>如需修改【办事大厅】和【OA系统】的登录密码可通过办事大厅的“修改密码”完成（统一身份认证将自动同步办事大厅、OA系统、vpn的账号密码），见下图位置：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2300605"/>
            <wp:effectExtent l="0" t="0" r="5715" b="1079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pStyle w:val="2"/>
        <w:numPr>
          <w:ilvl w:val="0"/>
          <w:numId w:val="1"/>
        </w:numPr>
        <w:bidi w:val="0"/>
        <w:rPr>
          <w:rFonts w:hint="default"/>
          <w:lang w:val="en-US" w:eastAsia="zh-CN"/>
        </w:rPr>
      </w:pPr>
      <w:bookmarkStart w:id="14" w:name="_Toc28570"/>
      <w:r>
        <w:rPr>
          <w:rFonts w:hint="eastAsia"/>
          <w:lang w:val="en-US" w:eastAsia="zh-CN"/>
        </w:rPr>
        <w:t>各项菜单功能介绍</w:t>
      </w:r>
      <w:bookmarkEnd w:id="14"/>
    </w:p>
    <w:p>
      <w:pPr>
        <w:pStyle w:val="3"/>
        <w:bidi w:val="0"/>
        <w:rPr>
          <w:rFonts w:hint="default"/>
          <w:lang w:val="en-US" w:eastAsia="zh-CN"/>
        </w:rPr>
      </w:pPr>
      <w:bookmarkStart w:id="15" w:name="_Toc20631"/>
      <w:r>
        <w:rPr>
          <w:rFonts w:hint="eastAsia"/>
          <w:lang w:val="en-US" w:eastAsia="zh-CN"/>
        </w:rPr>
        <w:t>1.【个人中心】菜单</w:t>
      </w:r>
      <w:bookmarkEnd w:id="15"/>
    </w:p>
    <w:p>
      <w:pPr>
        <w:pStyle w:val="4"/>
        <w:bidi w:val="0"/>
        <w:rPr>
          <w:rFonts w:hint="eastAsia"/>
          <w:lang w:val="en-US" w:eastAsia="zh-CN"/>
        </w:rPr>
      </w:pPr>
      <w:bookmarkStart w:id="16" w:name="_Toc10912"/>
      <w:r>
        <w:rPr>
          <w:rFonts w:hint="eastAsia"/>
          <w:lang w:val="en-US" w:eastAsia="zh-CN"/>
        </w:rPr>
        <w:t>1.1短信发送和邮件发送</w:t>
      </w:r>
      <w:bookmarkEnd w:id="16"/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2125345"/>
            <wp:effectExtent l="0" t="0" r="1905" b="825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pStyle w:val="4"/>
        <w:bidi w:val="0"/>
        <w:rPr>
          <w:rFonts w:hint="eastAsia"/>
          <w:lang w:val="en-US" w:eastAsia="zh-CN"/>
        </w:rPr>
      </w:pPr>
      <w:bookmarkStart w:id="17" w:name="_Toc24954"/>
      <w:r>
        <w:rPr>
          <w:rFonts w:hint="eastAsia"/>
          <w:lang w:val="en-US" w:eastAsia="zh-CN"/>
        </w:rPr>
        <w:t>1.2常用链接、通讯录</w:t>
      </w:r>
      <w:bookmarkEnd w:id="17"/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770" cy="3806190"/>
            <wp:effectExtent l="0" t="0" r="11430" b="381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pStyle w:val="4"/>
        <w:bidi w:val="0"/>
      </w:pPr>
      <w:bookmarkStart w:id="18" w:name="_Toc31293"/>
      <w:r>
        <w:rPr>
          <w:rFonts w:hint="eastAsia"/>
          <w:lang w:val="en-US" w:eastAsia="zh-CN"/>
        </w:rPr>
        <w:t>1.3通知公告和一周会议</w:t>
      </w:r>
      <w:bookmarkEnd w:id="18"/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37480" cy="3545840"/>
            <wp:effectExtent l="0" t="0" r="7620" b="1016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rcRect b="11323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35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19" w:name="_Toc4978"/>
      <w:r>
        <w:rPr>
          <w:rFonts w:hint="eastAsia"/>
          <w:lang w:val="en-US" w:eastAsia="zh-CN"/>
        </w:rPr>
        <w:t>1.4  oa邮箱</w:t>
      </w:r>
      <w:bookmarkEnd w:id="19"/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3861435"/>
            <wp:effectExtent l="0" t="0" r="11430" b="1206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6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在“已发送”里可以查看您发送邮件的接收情况，也可撤回已发送的邮件，如下图位置：</w:t>
      </w:r>
    </w:p>
    <w:p>
      <w:r>
        <w:drawing>
          <wp:inline distT="0" distB="0" distL="114300" distR="114300">
            <wp:extent cx="5610860" cy="624840"/>
            <wp:effectExtent l="0" t="0" r="2540" b="1016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20" w:name="_Toc2821"/>
      <w:r>
        <w:rPr>
          <w:rFonts w:hint="eastAsia"/>
          <w:lang w:val="en-US" w:eastAsia="zh-CN"/>
        </w:rPr>
        <w:t>2.【服务中心】菜单</w:t>
      </w:r>
      <w:bookmarkEnd w:id="20"/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选择【服务中心】菜单即可看到学校各部门“最多跑一次”的所有流程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8595" cy="2506345"/>
            <wp:effectExtent l="0" t="0" r="1905" b="825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Chars="0"/>
        <w:rPr>
          <w:rFonts w:asciiTheme="majorEastAsia" w:hAnsiTheme="majorEastAsia"/>
        </w:rPr>
      </w:pPr>
      <w:bookmarkStart w:id="21" w:name="_Toc20906"/>
      <w:bookmarkStart w:id="22" w:name="_Toc16602"/>
      <w:r>
        <w:rPr>
          <w:rFonts w:hint="eastAsia" w:asciiTheme="majorEastAsia" w:hAnsiTheme="majorEastAsia"/>
          <w:lang w:val="en-US" w:eastAsia="zh-CN"/>
        </w:rPr>
        <w:t>2.1</w:t>
      </w:r>
      <w:r>
        <w:rPr>
          <w:rFonts w:hint="eastAsia" w:asciiTheme="majorEastAsia" w:hAnsiTheme="majorEastAsia"/>
        </w:rPr>
        <w:t>以</w:t>
      </w:r>
      <w:r>
        <w:rPr>
          <w:rFonts w:hint="eastAsia"/>
        </w:rPr>
        <w:t>出差审批单</w:t>
      </w:r>
      <w:r>
        <w:rPr>
          <w:rFonts w:hint="eastAsia" w:asciiTheme="majorEastAsia" w:hAnsiTheme="majorEastAsia"/>
        </w:rPr>
        <w:t>为例说明</w:t>
      </w:r>
      <w:bookmarkEnd w:id="21"/>
      <w:bookmarkEnd w:id="22"/>
    </w:p>
    <w:p>
      <w:pPr>
        <w:pStyle w:val="4"/>
        <w:ind w:leftChars="100"/>
        <w:rPr>
          <w:rFonts w:asciiTheme="majorEastAsia" w:hAnsiTheme="majorEastAsia" w:eastAsiaTheme="majorEastAsia"/>
          <w:sz w:val="28"/>
          <w:szCs w:val="28"/>
        </w:rPr>
      </w:pPr>
      <w:bookmarkStart w:id="23" w:name="_Toc16871"/>
      <w:bookmarkStart w:id="24" w:name="_Toc20692"/>
      <w:r>
        <w:rPr>
          <w:rFonts w:hint="eastAsia" w:asciiTheme="majorEastAsia" w:hAnsiTheme="majorEastAsia" w:eastAsiaTheme="majorEastAsia"/>
          <w:sz w:val="28"/>
          <w:szCs w:val="28"/>
          <w:lang w:val="en-US" w:eastAsia="zh-CN"/>
        </w:rPr>
        <w:t>2</w:t>
      </w:r>
      <w:r>
        <w:rPr>
          <w:rFonts w:asciiTheme="majorEastAsia" w:hAnsiTheme="majorEastAsia" w:eastAsiaTheme="majorEastAsia"/>
          <w:sz w:val="28"/>
          <w:szCs w:val="28"/>
        </w:rPr>
        <w:t>.1</w:t>
      </w:r>
      <w:r>
        <w:rPr>
          <w:rFonts w:hint="eastAsia" w:asciiTheme="majorEastAsia" w:hAnsiTheme="majorEastAsia" w:eastAsiaTheme="majorEastAsia"/>
          <w:sz w:val="28"/>
          <w:szCs w:val="28"/>
          <w:lang w:val="en-US" w:eastAsia="zh-CN"/>
        </w:rPr>
        <w:t>.1</w:t>
      </w:r>
      <w:r>
        <w:rPr>
          <w:rFonts w:hint="eastAsia" w:asciiTheme="majorEastAsia" w:hAnsiTheme="majorEastAsia" w:eastAsiaTheme="majorEastAsia"/>
          <w:sz w:val="28"/>
          <w:szCs w:val="28"/>
        </w:rPr>
        <w:t>发起出差审批单流程</w:t>
      </w:r>
      <w:bookmarkEnd w:id="23"/>
      <w:bookmarkEnd w:id="24"/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</w:rPr>
        <w:t>进入首页之后，</w:t>
      </w:r>
      <w:r>
        <w:rPr>
          <w:rFonts w:hint="eastAsia"/>
          <w:lang w:val="en-US" w:eastAsia="zh-CN"/>
        </w:rPr>
        <w:t>可直接点击搜索按钮，搜索栏输入“出差审批”，如图3-1所示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9865" cy="621665"/>
            <wp:effectExtent l="0" t="0" r="635" b="63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066290"/>
            <wp:effectExtent l="0" t="0" r="8890" b="381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图2-1</w:t>
      </w:r>
    </w:p>
    <w:p/>
    <w:p>
      <w:pPr>
        <w:ind w:firstLine="420" w:firstLineChars="200"/>
      </w:pPr>
      <w:r>
        <w:rPr>
          <w:rFonts w:hint="eastAsia"/>
          <w:lang w:val="en-US" w:eastAsia="zh-CN"/>
        </w:rPr>
        <w:t>或</w:t>
      </w:r>
      <w:r>
        <w:rPr>
          <w:rFonts w:hint="eastAsia"/>
        </w:rPr>
        <w:t>在上方导航栏选择“服务中心”，</w:t>
      </w:r>
      <w:r>
        <w:rPr>
          <w:rFonts w:hint="eastAsia"/>
          <w:lang w:val="en-US" w:eastAsia="zh-CN"/>
        </w:rPr>
        <w:t>受理部门选择“财务处”，在</w:t>
      </w:r>
      <w:r>
        <w:rPr>
          <w:rFonts w:hint="eastAsia"/>
        </w:rPr>
        <w:t>服务清单中选择“出差审批单”，如图</w:t>
      </w:r>
      <w:r>
        <w:rPr>
          <w:rFonts w:hint="eastAsia"/>
          <w:lang w:val="en-US" w:eastAsia="zh-CN"/>
        </w:rPr>
        <w:t>2-2</w:t>
      </w:r>
      <w:r>
        <w:rPr>
          <w:rFonts w:hint="eastAsia"/>
        </w:rPr>
        <w:t>所示。</w:t>
      </w:r>
    </w:p>
    <w:p/>
    <w:p>
      <w:pPr>
        <w:keepNext/>
      </w:pPr>
      <w:r>
        <w:drawing>
          <wp:inline distT="0" distB="0" distL="114300" distR="114300">
            <wp:extent cx="5268595" cy="2065655"/>
            <wp:effectExtent l="0" t="0" r="1905" b="444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default" w:eastAsia="黑体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2-2</w:t>
      </w:r>
    </w:p>
    <w:p>
      <w:pPr>
        <w:keepNext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ind w:firstLine="420" w:firstLineChars="200"/>
      </w:pPr>
      <w:r>
        <w:rPr>
          <w:rFonts w:hint="eastAsia"/>
        </w:rPr>
        <w:t>第一次发起流程前，选择“办事指南”，查看办事指南、办事流程，下载文件材料，如图</w:t>
      </w:r>
      <w:r>
        <w:rPr>
          <w:rFonts w:hint="eastAsia"/>
          <w:lang w:val="en-US" w:eastAsia="zh-CN"/>
        </w:rPr>
        <w:t>2-3、2-4</w:t>
      </w:r>
      <w:r>
        <w:rPr>
          <w:rFonts w:hint="eastAsia"/>
        </w:rPr>
        <w:t xml:space="preserve">所示。 </w:t>
      </w:r>
    </w:p>
    <w:p>
      <w:pPr>
        <w:keepNext/>
      </w:pPr>
      <w:r>
        <w:drawing>
          <wp:inline distT="0" distB="0" distL="0" distR="0">
            <wp:extent cx="5274310" cy="2129790"/>
            <wp:effectExtent l="0" t="0" r="2540" b="381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default" w:eastAsia="黑体"/>
          <w:lang w:val="en-US" w:eastAsia="zh-CN"/>
        </w:rPr>
      </w:pPr>
      <w:r>
        <w:t>图</w:t>
      </w:r>
      <w:r>
        <w:rPr>
          <w:rFonts w:hint="eastAsia"/>
          <w:lang w:val="en-US" w:eastAsia="zh-CN"/>
        </w:rPr>
        <w:t>2-3</w:t>
      </w:r>
    </w:p>
    <w:p>
      <w:pPr>
        <w:keepNext/>
      </w:pPr>
      <w:r>
        <w:drawing>
          <wp:inline distT="0" distB="0" distL="0" distR="0">
            <wp:extent cx="5274310" cy="2411730"/>
            <wp:effectExtent l="0" t="0" r="8890" b="127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20"/>
                    <a:srcRect b="148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default" w:eastAsia="黑体"/>
          <w:lang w:val="en-US" w:eastAsia="zh-CN"/>
        </w:rPr>
      </w:pPr>
      <w:r>
        <w:t>图</w:t>
      </w:r>
      <w:r>
        <w:rPr>
          <w:rFonts w:hint="eastAsia"/>
          <w:lang w:val="en-US" w:eastAsia="zh-CN"/>
        </w:rPr>
        <w:t>2-4</w:t>
      </w:r>
    </w:p>
    <w:p>
      <w:pPr>
        <w:ind w:firstLine="420" w:firstLineChars="200"/>
      </w:pPr>
      <w:r>
        <w:rPr>
          <w:rFonts w:hint="eastAsia"/>
        </w:rPr>
        <w:t>选择“在线办理”，进入发起流程的页面，依次输入相关信息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红框处为必填</w:t>
      </w:r>
      <w:r>
        <w:rPr>
          <w:rFonts w:hint="eastAsia"/>
        </w:rPr>
        <w:t>。输入完成后，</w:t>
      </w:r>
      <w:r>
        <w:rPr>
          <w:rFonts w:hint="eastAsia"/>
          <w:lang w:val="en-US" w:eastAsia="zh-CN"/>
        </w:rPr>
        <w:t>右上角</w:t>
      </w:r>
      <w:r>
        <w:rPr>
          <w:rFonts w:hint="eastAsia"/>
        </w:rPr>
        <w:t>提交申请，如图</w:t>
      </w:r>
      <w:r>
        <w:rPr>
          <w:rFonts w:hint="eastAsia"/>
          <w:lang w:val="en-US" w:eastAsia="zh-CN"/>
        </w:rPr>
        <w:t>2-5</w:t>
      </w:r>
      <w:r>
        <w:rPr>
          <w:rFonts w:hint="eastAsia"/>
        </w:rPr>
        <w:t>所示。</w:t>
      </w:r>
    </w:p>
    <w:p>
      <w:pPr>
        <w:keepNext/>
      </w:pPr>
      <w:r>
        <w:drawing>
          <wp:inline distT="0" distB="0" distL="0" distR="0">
            <wp:extent cx="5274310" cy="2317750"/>
            <wp:effectExtent l="0" t="0" r="2540" b="635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832100"/>
            <wp:effectExtent l="0" t="0" r="2540" b="635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keepNext/>
      </w:pPr>
      <w:r>
        <w:drawing>
          <wp:inline distT="0" distB="0" distL="0" distR="0">
            <wp:extent cx="5274310" cy="2273935"/>
            <wp:effectExtent l="0" t="0" r="254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default" w:eastAsia="黑体"/>
          <w:lang w:val="en-US" w:eastAsia="zh-CN"/>
        </w:rPr>
      </w:pPr>
      <w:r>
        <w:t>图</w:t>
      </w:r>
      <w:r>
        <w:rPr>
          <w:rFonts w:hint="eastAsia"/>
          <w:lang w:val="en-US" w:eastAsia="zh-CN"/>
        </w:rPr>
        <w:t>2-5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选择“评价”，进入评价页面，选择满意度星级，输入评价内容并提交。可在下方查看所有评价，也可以按照星级分类查看，如图</w:t>
      </w:r>
      <w:r>
        <w:rPr>
          <w:rFonts w:hint="eastAsia"/>
          <w:lang w:val="en-US" w:eastAsia="zh-CN"/>
        </w:rPr>
        <w:t>2-6</w:t>
      </w:r>
      <w:r>
        <w:rPr>
          <w:rFonts w:hint="eastAsia"/>
        </w:rPr>
        <w:t>所示。</w:t>
      </w:r>
    </w:p>
    <w:p>
      <w:pPr>
        <w:rPr>
          <w:rFonts w:hint="eastAsia"/>
        </w:rPr>
      </w:pPr>
      <w:r>
        <w:drawing>
          <wp:inline distT="0" distB="0" distL="114300" distR="114300">
            <wp:extent cx="5272405" cy="1695450"/>
            <wp:effectExtent l="0" t="0" r="10795" b="635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</w:pPr>
    </w:p>
    <w:p>
      <w:pPr>
        <w:keepNext/>
      </w:pPr>
      <w:r>
        <w:drawing>
          <wp:inline distT="0" distB="0" distL="0" distR="0">
            <wp:extent cx="5274310" cy="2188210"/>
            <wp:effectExtent l="0" t="0" r="8890" b="889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25"/>
                    <a:srcRect b="92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default" w:eastAsia="黑体"/>
          <w:lang w:val="en-US" w:eastAsia="zh-CN"/>
        </w:rPr>
      </w:pPr>
      <w:r>
        <w:t>图</w:t>
      </w:r>
      <w:r>
        <w:rPr>
          <w:rFonts w:hint="eastAsia"/>
          <w:lang w:val="en-US" w:eastAsia="zh-CN"/>
        </w:rPr>
        <w:t>2-6</w:t>
      </w:r>
    </w:p>
    <w:p>
      <w:pPr>
        <w:pStyle w:val="4"/>
        <w:ind w:firstLine="280" w:firstLineChars="100"/>
        <w:rPr>
          <w:rFonts w:asciiTheme="majorEastAsia" w:hAnsiTheme="majorEastAsia" w:eastAsiaTheme="majorEastAsia"/>
          <w:sz w:val="28"/>
          <w:szCs w:val="28"/>
        </w:rPr>
      </w:pPr>
      <w:bookmarkStart w:id="25" w:name="_Toc31840"/>
      <w:bookmarkStart w:id="26" w:name="_Toc2170"/>
      <w:r>
        <w:rPr>
          <w:rFonts w:hint="eastAsia" w:asciiTheme="majorEastAsia" w:hAnsiTheme="majorEastAsia" w:eastAsiaTheme="majorEastAsia"/>
          <w:sz w:val="28"/>
          <w:szCs w:val="28"/>
          <w:lang w:val="en-US" w:eastAsia="zh-CN"/>
        </w:rPr>
        <w:t>2</w:t>
      </w:r>
      <w:r>
        <w:rPr>
          <w:rFonts w:hint="eastAsia" w:asciiTheme="majorEastAsia" w:hAnsiTheme="majorEastAsia" w:eastAsiaTheme="majorEastAsia"/>
          <w:sz w:val="28"/>
          <w:szCs w:val="28"/>
        </w:rPr>
        <w:t>.2审批出差审批单流程</w:t>
      </w:r>
      <w:bookmarkEnd w:id="25"/>
      <w:bookmarkEnd w:id="26"/>
    </w:p>
    <w:p>
      <w:pPr>
        <w:ind w:firstLine="420" w:firstLineChars="200"/>
      </w:pPr>
      <w:r>
        <w:rPr>
          <w:rFonts w:hint="eastAsia"/>
        </w:rPr>
        <w:t>流程审批执行人员登录系统后，通过“个人中心”-“我的待办”进入审批页面，如图</w:t>
      </w:r>
      <w:r>
        <w:rPr>
          <w:rFonts w:hint="eastAsia"/>
          <w:lang w:val="en-US" w:eastAsia="zh-CN"/>
        </w:rPr>
        <w:t>2-7</w:t>
      </w:r>
      <w:r>
        <w:rPr>
          <w:rFonts w:hint="eastAsia"/>
        </w:rPr>
        <w:t>所示。</w:t>
      </w:r>
    </w:p>
    <w:p>
      <w:pPr>
        <w:keepNext/>
      </w:pPr>
    </w:p>
    <w:p>
      <w:pPr>
        <w:keepNext/>
      </w:pPr>
      <w:r>
        <w:drawing>
          <wp:inline distT="0" distB="0" distL="0" distR="0">
            <wp:extent cx="5274310" cy="2371090"/>
            <wp:effectExtent l="0" t="0" r="8890" b="381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26"/>
                    <a:srcRect b="213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default" w:eastAsia="黑体"/>
          <w:lang w:val="en-US" w:eastAsia="zh-CN"/>
        </w:rPr>
      </w:pPr>
      <w:r>
        <w:t>图</w:t>
      </w:r>
      <w:r>
        <w:rPr>
          <w:rFonts w:hint="eastAsia"/>
          <w:lang w:val="en-US" w:eastAsia="zh-CN"/>
        </w:rPr>
        <w:t>2-7</w:t>
      </w:r>
    </w:p>
    <w:p>
      <w:pPr>
        <w:ind w:firstLine="420" w:firstLineChars="200"/>
      </w:pPr>
      <w:r>
        <w:rPr>
          <w:rFonts w:hint="eastAsia"/>
        </w:rPr>
        <w:t>审阅申请内容之后，通过“提交审批”按钮将申请表提交给下一步流程审批人，或者选择退回给发起人（</w:t>
      </w:r>
      <w:r>
        <w:t>需要填写相应的审批意见，也可以选择下方常用语）</w:t>
      </w:r>
      <w:r>
        <w:rPr>
          <w:rFonts w:hint="eastAsia"/>
        </w:rPr>
        <w:t>，如图</w:t>
      </w:r>
      <w:r>
        <w:rPr>
          <w:rFonts w:hint="eastAsia"/>
          <w:lang w:val="en-US" w:eastAsia="zh-CN"/>
        </w:rPr>
        <w:t>2-8、2-9</w:t>
      </w:r>
      <w:r>
        <w:rPr>
          <w:rFonts w:hint="eastAsia"/>
        </w:rPr>
        <w:t>所示。</w:t>
      </w:r>
    </w:p>
    <w:p>
      <w:pPr>
        <w:keepNext/>
      </w:pPr>
      <w:r>
        <w:drawing>
          <wp:inline distT="0" distB="0" distL="0" distR="0">
            <wp:extent cx="5274310" cy="2126615"/>
            <wp:effectExtent l="0" t="0" r="2540" b="6985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5"/>
        <w:jc w:val="center"/>
        <w:rPr>
          <w:rFonts w:hint="default" w:eastAsia="黑体"/>
          <w:lang w:val="en-US" w:eastAsia="zh-CN"/>
        </w:rPr>
      </w:pPr>
      <w:r>
        <w:t>图</w:t>
      </w:r>
      <w:r>
        <w:rPr>
          <w:rFonts w:hint="eastAsia"/>
          <w:lang w:val="en-US" w:eastAsia="zh-CN"/>
        </w:rPr>
        <w:t>2-8</w:t>
      </w:r>
    </w:p>
    <w:p>
      <w:pPr>
        <w:keepNext/>
      </w:pPr>
      <w:r>
        <w:drawing>
          <wp:inline distT="0" distB="0" distL="0" distR="0">
            <wp:extent cx="5274310" cy="2179955"/>
            <wp:effectExtent l="0" t="0" r="254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default" w:eastAsia="黑体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2-9</w:t>
      </w:r>
    </w:p>
    <w:p>
      <w:pPr>
        <w:pStyle w:val="4"/>
        <w:ind w:firstLine="280" w:firstLineChars="100"/>
        <w:rPr>
          <w:rFonts w:asciiTheme="majorEastAsia" w:hAnsiTheme="majorEastAsia" w:eastAsiaTheme="majorEastAsia"/>
          <w:sz w:val="28"/>
          <w:szCs w:val="28"/>
        </w:rPr>
      </w:pPr>
      <w:bookmarkStart w:id="27" w:name="_Toc31879"/>
      <w:bookmarkStart w:id="28" w:name="_Toc30407"/>
      <w:r>
        <w:rPr>
          <w:rFonts w:hint="eastAsia" w:asciiTheme="majorEastAsia" w:hAnsiTheme="majorEastAsia" w:eastAsiaTheme="majorEastAsia"/>
          <w:sz w:val="28"/>
          <w:szCs w:val="28"/>
          <w:lang w:val="en-US" w:eastAsia="zh-CN"/>
        </w:rPr>
        <w:t>2</w:t>
      </w:r>
      <w:r>
        <w:rPr>
          <w:rFonts w:asciiTheme="majorEastAsia" w:hAnsiTheme="majorEastAsia" w:eastAsiaTheme="majorEastAsia"/>
          <w:sz w:val="28"/>
          <w:szCs w:val="28"/>
        </w:rPr>
        <w:t>.3</w:t>
      </w:r>
      <w:r>
        <w:rPr>
          <w:rFonts w:hint="eastAsia" w:asciiTheme="majorEastAsia" w:hAnsiTheme="majorEastAsia" w:eastAsiaTheme="majorEastAsia"/>
          <w:sz w:val="28"/>
          <w:szCs w:val="28"/>
        </w:rPr>
        <w:t>查询出差审批单流程</w:t>
      </w:r>
      <w:bookmarkEnd w:id="27"/>
      <w:bookmarkEnd w:id="28"/>
    </w:p>
    <w:p>
      <w:r>
        <w:rPr>
          <w:rFonts w:hint="eastAsia"/>
        </w:rPr>
        <w:t>审批流程未完成时，申请人可以在“我的申请”中查看审批历史和流程图，在流程图中通过移动鼠标显示相应节点的审批状态和审批人等信息，如图</w:t>
      </w:r>
      <w:r>
        <w:rPr>
          <w:rFonts w:hint="eastAsia"/>
          <w:lang w:val="en-US" w:eastAsia="zh-CN"/>
        </w:rPr>
        <w:t>2-10、2-11</w:t>
      </w:r>
      <w:r>
        <w:t>所示。</w:t>
      </w:r>
    </w:p>
    <w:p>
      <w:pPr>
        <w:keepNext/>
        <w:jc w:val="center"/>
      </w:pPr>
      <w:r>
        <w:drawing>
          <wp:inline distT="0" distB="0" distL="0" distR="0">
            <wp:extent cx="5274310" cy="2768600"/>
            <wp:effectExtent l="0" t="0" r="254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图</w:t>
      </w:r>
      <w:r>
        <w:rPr>
          <w:rFonts w:hint="eastAsia"/>
          <w:lang w:val="en-US" w:eastAsia="zh-CN"/>
        </w:rPr>
        <w:t>2-10</w:t>
      </w:r>
    </w:p>
    <w:p>
      <w:pPr>
        <w:keepNext/>
        <w:jc w:val="center"/>
      </w:pPr>
      <w:r>
        <w:drawing>
          <wp:inline distT="0" distB="0" distL="0" distR="0">
            <wp:extent cx="5274310" cy="2192655"/>
            <wp:effectExtent l="0" t="0" r="8890" b="4445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30"/>
                    <a:srcRect b="67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图</w:t>
      </w:r>
      <w:r>
        <w:rPr>
          <w:rFonts w:hint="eastAsia"/>
          <w:lang w:val="en-US" w:eastAsia="zh-CN"/>
        </w:rPr>
        <w:t>2-11</w:t>
      </w:r>
    </w:p>
    <w:p>
      <w:pPr>
        <w:ind w:firstLine="420" w:firstLineChars="200"/>
      </w:pPr>
      <w:r>
        <w:rPr>
          <w:rFonts w:hint="eastAsia"/>
        </w:rPr>
        <w:t>审批流程未完成时，审批人员可以在“我的已办”中查看审批历史和流程图，如图</w:t>
      </w:r>
      <w:r>
        <w:rPr>
          <w:rFonts w:hint="eastAsia"/>
          <w:lang w:val="en-US" w:eastAsia="zh-CN"/>
        </w:rPr>
        <w:t>2-12</w:t>
      </w:r>
      <w:r>
        <w:t>所示。</w:t>
      </w:r>
    </w:p>
    <w:p>
      <w:pPr>
        <w:keepNext/>
      </w:pPr>
      <w:r>
        <w:drawing>
          <wp:inline distT="0" distB="0" distL="0" distR="0">
            <wp:extent cx="5274310" cy="2203450"/>
            <wp:effectExtent l="0" t="0" r="8890" b="635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31"/>
                    <a:srcRect b="208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eastAsia"/>
          <w:lang w:val="en-US" w:eastAsia="zh-CN"/>
        </w:rPr>
      </w:pPr>
      <w:r>
        <w:t>图</w:t>
      </w:r>
      <w:r>
        <w:rPr>
          <w:rFonts w:hint="eastAsia"/>
          <w:lang w:val="en-US" w:eastAsia="zh-CN"/>
        </w:rPr>
        <w:t>2-12</w:t>
      </w:r>
    </w:p>
    <w:p>
      <w:pPr>
        <w:rPr>
          <w:rFonts w:hint="default"/>
          <w:lang w:val="en-US" w:eastAsia="zh-CN"/>
        </w:rPr>
      </w:pPr>
    </w:p>
    <w:p>
      <w:pPr>
        <w:ind w:firstLine="420" w:firstLineChars="200"/>
      </w:pPr>
      <w:r>
        <w:rPr>
          <w:rFonts w:hint="eastAsia"/>
        </w:rPr>
        <w:t>审批完成之后，申请人和审批人都可在“我的办结”中查看流程的审批历史和流程图，并且可以根据需求</w:t>
      </w:r>
      <w:r>
        <w:t>打印表单，如图</w:t>
      </w:r>
      <w:r>
        <w:rPr>
          <w:rFonts w:hint="eastAsia"/>
          <w:lang w:val="en-US" w:eastAsia="zh-CN"/>
        </w:rPr>
        <w:t>2-13、2-14、2-15</w:t>
      </w:r>
      <w:r>
        <w:t>所示。</w:t>
      </w:r>
    </w:p>
    <w:p>
      <w:pPr>
        <w:keepNext/>
      </w:pPr>
      <w:r>
        <w:t xml:space="preserve"> </w:t>
      </w:r>
    </w:p>
    <w:p>
      <w:pPr>
        <w:keepNext/>
      </w:pPr>
      <w:r>
        <w:drawing>
          <wp:inline distT="0" distB="0" distL="0" distR="0">
            <wp:extent cx="5274310" cy="2364740"/>
            <wp:effectExtent l="0" t="0" r="8890" b="1016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32"/>
                    <a:srcRect b="160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jc w:val="center"/>
      </w:pPr>
      <w:r>
        <w:t>图</w:t>
      </w:r>
      <w:r>
        <w:rPr>
          <w:rFonts w:hint="eastAsia"/>
          <w:lang w:val="en-US" w:eastAsia="zh-CN"/>
        </w:rPr>
        <w:t>2-13</w:t>
      </w:r>
    </w:p>
    <w:p>
      <w:pPr>
        <w:keepNext/>
      </w:pPr>
      <w:r>
        <w:drawing>
          <wp:inline distT="0" distB="0" distL="0" distR="0">
            <wp:extent cx="5274310" cy="2345690"/>
            <wp:effectExtent l="0" t="0" r="8890" b="381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</w:pPr>
      <w:r>
        <w:drawing>
          <wp:inline distT="0" distB="0" distL="0" distR="0">
            <wp:extent cx="5274310" cy="2743200"/>
            <wp:effectExtent l="0" t="0" r="8890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/>
                    <pic:cNvPicPr>
                      <a:picLocks noChangeAspect="1"/>
                    </pic:cNvPicPr>
                  </pic:nvPicPr>
                  <pic:blipFill>
                    <a:blip r:embed="rId34"/>
                    <a:srcRect b="80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>
      <w:pPr>
        <w:pStyle w:val="5"/>
        <w:jc w:val="center"/>
        <w:rPr>
          <w:rFonts w:hint="default" w:eastAsia="黑体"/>
          <w:lang w:val="en-US" w:eastAsia="zh-CN"/>
        </w:rPr>
      </w:pPr>
      <w:r>
        <w:t>图</w:t>
      </w:r>
      <w:r>
        <w:rPr>
          <w:rFonts w:hint="eastAsia"/>
          <w:lang w:val="en-US" w:eastAsia="zh-CN"/>
        </w:rPr>
        <w:t>2-14</w:t>
      </w:r>
    </w:p>
    <w:p>
      <w:pPr>
        <w:keepNext/>
      </w:pPr>
      <w:r>
        <w:drawing>
          <wp:inline distT="0" distB="0" distL="0" distR="0">
            <wp:extent cx="5274310" cy="2118995"/>
            <wp:effectExtent l="0" t="0" r="254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default" w:eastAsia="黑体"/>
          <w:lang w:val="en-US" w:eastAsia="zh-CN"/>
        </w:rPr>
      </w:pPr>
    </w:p>
    <w:p>
      <w:pPr>
        <w:keepNext/>
      </w:pPr>
    </w:p>
    <w:p>
      <w:pPr>
        <w:keepNext/>
      </w:pPr>
      <w:r>
        <w:drawing>
          <wp:inline distT="0" distB="0" distL="0" distR="0">
            <wp:extent cx="5274310" cy="2359660"/>
            <wp:effectExtent l="0" t="0" r="8890" b="254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/>
                    <pic:cNvPicPr>
                      <a:picLocks noChangeAspect="1"/>
                    </pic:cNvPicPr>
                  </pic:nvPicPr>
                  <pic:blipFill>
                    <a:blip r:embed="rId36"/>
                    <a:srcRect b="131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keepNext/>
      </w:pPr>
      <w:r>
        <w:drawing>
          <wp:inline distT="0" distB="0" distL="0" distR="0">
            <wp:extent cx="5274310" cy="2734945"/>
            <wp:effectExtent l="0" t="0" r="2540" b="8255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jc w:val="center"/>
        <w:rPr>
          <w:rFonts w:hint="eastAsia"/>
          <w:lang w:val="en-US" w:eastAsia="zh-CN"/>
        </w:rPr>
      </w:pPr>
      <w:r>
        <w:t>图</w:t>
      </w:r>
      <w:r>
        <w:rPr>
          <w:rFonts w:hint="eastAsia"/>
          <w:lang w:val="en-US" w:eastAsia="zh-CN"/>
        </w:rPr>
        <w:t>2-15</w:t>
      </w:r>
    </w:p>
    <w:p>
      <w:pPr>
        <w:pStyle w:val="3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bookmarkStart w:id="29" w:name="_Toc3602"/>
      <w:r>
        <w:rPr>
          <w:rFonts w:hint="eastAsia"/>
          <w:lang w:val="en-US" w:eastAsia="zh-CN"/>
        </w:rPr>
        <w:t>3.【业务直通车】菜单</w:t>
      </w:r>
      <w:bookmarkEnd w:id="29"/>
    </w:p>
    <w:p>
      <w:pPr>
        <w:numPr>
          <w:ilvl w:val="0"/>
          <w:numId w:val="0"/>
        </w:numPr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该菜单可以链接到学校的其他业务系统，如OA系统。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9865" cy="1980565"/>
            <wp:effectExtent l="0" t="0" r="635" b="635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bidi w:val="0"/>
        <w:rPr>
          <w:rFonts w:hint="eastAsia"/>
          <w:lang w:val="en-US" w:eastAsia="zh-CN"/>
        </w:rPr>
      </w:pPr>
      <w:bookmarkStart w:id="30" w:name="_Toc31693"/>
      <w:r>
        <w:rPr>
          <w:rFonts w:hint="eastAsia"/>
          <w:lang w:val="en-US" w:eastAsia="zh-CN"/>
        </w:rPr>
        <w:t>【事务中心】菜单</w:t>
      </w:r>
      <w:bookmarkEnd w:id="30"/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该菜单可查看“我审批的”、“我提交的”各项业务，也可进行撤回流程、评价流程等操作。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0500" cy="2986405"/>
            <wp:effectExtent l="0" t="0" r="0" b="10795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“个人中心”可修改老师的个人信息。“”点击签字”可进行个人签名数据采集，该签名将用在流程审批中电子签名的操作，目前功能还在完善中。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2722245"/>
            <wp:effectExtent l="0" t="0" r="12065" b="8255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pStyle w:val="3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bookmarkStart w:id="31" w:name="_Toc18741"/>
      <w:r>
        <w:rPr>
          <w:rFonts w:hint="eastAsia"/>
          <w:lang w:val="en-US" w:eastAsia="zh-CN"/>
        </w:rPr>
        <w:t>5.【统计查询】菜单</w:t>
      </w:r>
      <w:bookmarkEnd w:id="31"/>
    </w:p>
    <w:p>
      <w:pPr>
        <w:numPr>
          <w:ilvl w:val="0"/>
          <w:numId w:val="0"/>
        </w:numPr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通过该功能可查看“最多跑一次”系统中各部门业务受理情况以及满意度评价。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2543175"/>
            <wp:effectExtent l="0" t="0" r="8890" b="9525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3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bfDwky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lt8PC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3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38FC7FB"/>
    <w:multiLevelType w:val="multilevel"/>
    <w:tmpl w:val="938FC7FB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abstractNum w:abstractNumId="1">
    <w:nsid w:val="21E90E21"/>
    <w:multiLevelType w:val="multilevel"/>
    <w:tmpl w:val="21E90E21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05F173F"/>
    <w:multiLevelType w:val="singleLevel"/>
    <w:tmpl w:val="405F173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5EE6790C"/>
    <w:multiLevelType w:val="multilevel"/>
    <w:tmpl w:val="5EE6790C"/>
    <w:lvl w:ilvl="0" w:tentative="0">
      <w:start w:val="1"/>
      <w:numFmt w:val="japaneseCounting"/>
      <w:lvlText w:val="%1、"/>
      <w:lvlJc w:val="left"/>
      <w:pPr>
        <w:ind w:left="912" w:hanging="912"/>
      </w:pPr>
      <w:rPr>
        <w:rFonts w:hint="default"/>
      </w:rPr>
    </w:lvl>
    <w:lvl w:ilvl="1" w:tentative="0">
      <w:start w:val="8"/>
      <w:numFmt w:val="decimal"/>
      <w:lvlText w:val="%2，"/>
      <w:lvlJc w:val="left"/>
      <w:pPr>
        <w:ind w:left="1140" w:hanging="72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636"/>
    <w:rsid w:val="000351B1"/>
    <w:rsid w:val="000E5469"/>
    <w:rsid w:val="000F44C9"/>
    <w:rsid w:val="00116541"/>
    <w:rsid w:val="001423D9"/>
    <w:rsid w:val="00145737"/>
    <w:rsid w:val="001A5FDC"/>
    <w:rsid w:val="001B59C0"/>
    <w:rsid w:val="001F1060"/>
    <w:rsid w:val="001F127E"/>
    <w:rsid w:val="001F18D5"/>
    <w:rsid w:val="0020674F"/>
    <w:rsid w:val="00223BC4"/>
    <w:rsid w:val="0023355F"/>
    <w:rsid w:val="0025328B"/>
    <w:rsid w:val="00264022"/>
    <w:rsid w:val="00286D8C"/>
    <w:rsid w:val="002A2F2A"/>
    <w:rsid w:val="002C1C11"/>
    <w:rsid w:val="003142F6"/>
    <w:rsid w:val="003209CA"/>
    <w:rsid w:val="00325279"/>
    <w:rsid w:val="0035088B"/>
    <w:rsid w:val="0036053F"/>
    <w:rsid w:val="003A1446"/>
    <w:rsid w:val="004046B3"/>
    <w:rsid w:val="00415508"/>
    <w:rsid w:val="004459CA"/>
    <w:rsid w:val="00484AF8"/>
    <w:rsid w:val="004A5F27"/>
    <w:rsid w:val="004B62F5"/>
    <w:rsid w:val="004F482C"/>
    <w:rsid w:val="005243C5"/>
    <w:rsid w:val="00536D06"/>
    <w:rsid w:val="005B28DC"/>
    <w:rsid w:val="005B76D6"/>
    <w:rsid w:val="00620495"/>
    <w:rsid w:val="006766D1"/>
    <w:rsid w:val="00692901"/>
    <w:rsid w:val="006A375E"/>
    <w:rsid w:val="0073274D"/>
    <w:rsid w:val="00780414"/>
    <w:rsid w:val="00795088"/>
    <w:rsid w:val="007A7360"/>
    <w:rsid w:val="007D0AF0"/>
    <w:rsid w:val="007F0C52"/>
    <w:rsid w:val="008041E9"/>
    <w:rsid w:val="00851F0B"/>
    <w:rsid w:val="00876A1E"/>
    <w:rsid w:val="00890594"/>
    <w:rsid w:val="00896779"/>
    <w:rsid w:val="008F35A9"/>
    <w:rsid w:val="008F7190"/>
    <w:rsid w:val="009109E7"/>
    <w:rsid w:val="0091634C"/>
    <w:rsid w:val="00925C01"/>
    <w:rsid w:val="00932221"/>
    <w:rsid w:val="009A09A6"/>
    <w:rsid w:val="009E64C5"/>
    <w:rsid w:val="009F18B0"/>
    <w:rsid w:val="00A53986"/>
    <w:rsid w:val="00AA748B"/>
    <w:rsid w:val="00AD3DD7"/>
    <w:rsid w:val="00B45603"/>
    <w:rsid w:val="00B52F0B"/>
    <w:rsid w:val="00B70D7B"/>
    <w:rsid w:val="00B908CA"/>
    <w:rsid w:val="00BA5F1B"/>
    <w:rsid w:val="00BC4844"/>
    <w:rsid w:val="00C11128"/>
    <w:rsid w:val="00C1524C"/>
    <w:rsid w:val="00C22740"/>
    <w:rsid w:val="00C24CCD"/>
    <w:rsid w:val="00C91E0A"/>
    <w:rsid w:val="00CB399C"/>
    <w:rsid w:val="00CC7EA9"/>
    <w:rsid w:val="00CF1CB6"/>
    <w:rsid w:val="00D23636"/>
    <w:rsid w:val="00D25ACF"/>
    <w:rsid w:val="00D272D3"/>
    <w:rsid w:val="00D87740"/>
    <w:rsid w:val="00DF0AE1"/>
    <w:rsid w:val="00E117D3"/>
    <w:rsid w:val="00E90FFE"/>
    <w:rsid w:val="00EC699A"/>
    <w:rsid w:val="00EE68E5"/>
    <w:rsid w:val="00F45F64"/>
    <w:rsid w:val="00F56059"/>
    <w:rsid w:val="00FA130C"/>
    <w:rsid w:val="045F70D4"/>
    <w:rsid w:val="05B14B63"/>
    <w:rsid w:val="05FA3AAF"/>
    <w:rsid w:val="0F1C3928"/>
    <w:rsid w:val="0F821598"/>
    <w:rsid w:val="0F8D5BBC"/>
    <w:rsid w:val="11E56D8D"/>
    <w:rsid w:val="15117F9E"/>
    <w:rsid w:val="158F62B3"/>
    <w:rsid w:val="18E8672F"/>
    <w:rsid w:val="200B2F94"/>
    <w:rsid w:val="24D4332F"/>
    <w:rsid w:val="26C070DA"/>
    <w:rsid w:val="2E3B198D"/>
    <w:rsid w:val="3DF22050"/>
    <w:rsid w:val="3DFB4F67"/>
    <w:rsid w:val="3ED83E42"/>
    <w:rsid w:val="3F5659CF"/>
    <w:rsid w:val="412233F7"/>
    <w:rsid w:val="413C6A42"/>
    <w:rsid w:val="4439008C"/>
    <w:rsid w:val="448E0858"/>
    <w:rsid w:val="49C7782E"/>
    <w:rsid w:val="49E11350"/>
    <w:rsid w:val="4C3A674A"/>
    <w:rsid w:val="4EF63B9D"/>
    <w:rsid w:val="53B5459F"/>
    <w:rsid w:val="54D54E7C"/>
    <w:rsid w:val="569A6B48"/>
    <w:rsid w:val="590E3AD8"/>
    <w:rsid w:val="5D810120"/>
    <w:rsid w:val="5F6B26BE"/>
    <w:rsid w:val="61AE5020"/>
    <w:rsid w:val="66F60C2C"/>
    <w:rsid w:val="73655EEE"/>
    <w:rsid w:val="75ED3ABC"/>
    <w:rsid w:val="7A4A209B"/>
    <w:rsid w:val="7D0B58E7"/>
    <w:rsid w:val="7FEE4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2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1">
    <w:name w:val="Title"/>
    <w:basedOn w:val="1"/>
    <w:next w:val="1"/>
    <w:link w:val="18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4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页眉 字符"/>
    <w:basedOn w:val="13"/>
    <w:link w:val="8"/>
    <w:qFormat/>
    <w:uiPriority w:val="99"/>
    <w:rPr>
      <w:sz w:val="18"/>
      <w:szCs w:val="18"/>
    </w:rPr>
  </w:style>
  <w:style w:type="character" w:customStyle="1" w:styleId="16">
    <w:name w:val="页脚 字符"/>
    <w:basedOn w:val="13"/>
    <w:link w:val="7"/>
    <w:qFormat/>
    <w:uiPriority w:val="99"/>
    <w:rPr>
      <w:sz w:val="18"/>
      <w:szCs w:val="18"/>
    </w:rPr>
  </w:style>
  <w:style w:type="character" w:customStyle="1" w:styleId="17">
    <w:name w:val="标题 1 字符"/>
    <w:basedOn w:val="13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8">
    <w:name w:val="标题 字符"/>
    <w:basedOn w:val="13"/>
    <w:link w:val="11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9">
    <w:name w:val="标题 2 字符"/>
    <w:basedOn w:val="13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20">
    <w:name w:val="List Paragraph"/>
    <w:basedOn w:val="1"/>
    <w:qFormat/>
    <w:uiPriority w:val="34"/>
    <w:pPr>
      <w:ind w:firstLine="420" w:firstLineChars="200"/>
    </w:pPr>
  </w:style>
  <w:style w:type="character" w:customStyle="1" w:styleId="21">
    <w:name w:val="Unresolved Mention"/>
    <w:basedOn w:val="13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2">
    <w:name w:val="标题 3 字符"/>
    <w:basedOn w:val="13"/>
    <w:link w:val="4"/>
    <w:qFormat/>
    <w:uiPriority w:val="9"/>
    <w:rPr>
      <w:b/>
      <w:bCs/>
      <w:sz w:val="32"/>
      <w:szCs w:val="32"/>
    </w:rPr>
  </w:style>
  <w:style w:type="paragraph" w:customStyle="1" w:styleId="23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paragraph" w:customStyle="1" w:styleId="24">
    <w:name w:val="WPSOffice手动目录 1"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5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6">
    <w:name w:val="WPSOffice手动目录 3"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5" Type="http://schemas.openxmlformats.org/officeDocument/2006/relationships/fontTable" Target="fontTable.xml"/><Relationship Id="rId44" Type="http://schemas.openxmlformats.org/officeDocument/2006/relationships/customXml" Target="../customXml/item2.xml"/><Relationship Id="rId43" Type="http://schemas.openxmlformats.org/officeDocument/2006/relationships/numbering" Target="numbering.xml"/><Relationship Id="rId42" Type="http://schemas.openxmlformats.org/officeDocument/2006/relationships/customXml" Target="../customXml/item1.xml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B7FA393-4842-4709-8CC1-EB3D23AA674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314</Words>
  <Characters>1791</Characters>
  <Lines>14</Lines>
  <Paragraphs>4</Paragraphs>
  <TotalTime>0</TotalTime>
  <ScaleCrop>false</ScaleCrop>
  <LinksUpToDate>false</LinksUpToDate>
  <CharactersWithSpaces>2101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2019-10-18T08:15:00Z</dcterms:created>
  <dc:creator>jin li</dc:creator>
  <cp:lastModifiedBy>chp</cp:lastModifiedBy>
  <dcterms:modified xsi:type="dcterms:W3CDTF">2020-11-19T03:22:38Z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