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720" w:lineRule="auto"/>
        <w:ind w:left="-630" w:leftChars="-300" w:right="-630" w:rightChars="-300"/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校务服务平台</w:t>
      </w:r>
      <w:r>
        <w:rPr>
          <w:rFonts w:hint="eastAsia" w:ascii="宋体" w:hAnsi="宋体"/>
          <w:b/>
          <w:sz w:val="72"/>
          <w:szCs w:val="72"/>
        </w:rPr>
        <w:t xml:space="preserve"> </w:t>
      </w:r>
    </w:p>
    <w:p>
      <w:pPr>
        <w:spacing w:before="624" w:beforeLines="200" w:after="312" w:afterLines="100" w:line="720" w:lineRule="auto"/>
        <w:ind w:left="-630" w:leftChars="-300" w:right="-630" w:rightChars="-300"/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  <w:lang w:val="en-US" w:eastAsia="zh-CN"/>
        </w:rPr>
        <w:t>手机端</w:t>
      </w:r>
      <w:r>
        <w:rPr>
          <w:rFonts w:hint="eastAsia" w:ascii="宋体" w:hAnsi="宋体"/>
          <w:b/>
          <w:sz w:val="84"/>
          <w:szCs w:val="84"/>
        </w:rPr>
        <w:t>操作手册</w:t>
      </w:r>
    </w:p>
    <w:p>
      <w:pPr>
        <w:spacing w:before="624" w:beforeLines="200" w:after="312" w:afterLines="100" w:line="720" w:lineRule="auto"/>
        <w:ind w:left="-630" w:leftChars="-300" w:right="-630" w:rightChars="-300"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        ---</w:t>
      </w:r>
      <w:r>
        <w:rPr>
          <w:rFonts w:hint="eastAsia" w:ascii="宋体" w:hAnsi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办事大厅</w:t>
      </w:r>
      <w:r>
        <w:rPr>
          <w:rFonts w:hint="eastAsia" w:ascii="宋体" w:hAnsi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和OA系统</w:t>
      </w:r>
    </w:p>
    <w:p>
      <w:pPr>
        <w:spacing w:before="624" w:beforeLines="200" w:after="312" w:afterLines="100" w:line="720" w:lineRule="auto"/>
        <w:ind w:left="-630" w:leftChars="-300" w:right="-630" w:rightChars="-300"/>
        <w:jc w:val="center"/>
        <w:rPr>
          <w:rFonts w:hint="default" w:ascii="宋体" w:hAnsi="宋体" w:eastAsia="宋体"/>
          <w:b/>
          <w:sz w:val="84"/>
          <w:szCs w:val="84"/>
          <w:lang w:val="en-US" w:eastAsia="zh-CN"/>
        </w:rPr>
      </w:pPr>
    </w:p>
    <w:p>
      <w:pPr>
        <w:spacing w:before="156" w:beforeLines="50" w:after="156" w:afterLines="50" w:line="360" w:lineRule="auto"/>
        <w:jc w:val="center"/>
        <w:rPr>
          <w:rFonts w:ascii="宋体" w:hAnsi="宋体"/>
          <w:b/>
          <w:sz w:val="84"/>
          <w:szCs w:val="84"/>
        </w:rPr>
      </w:pPr>
    </w:p>
    <w:p>
      <w:pPr>
        <w:spacing w:before="156" w:beforeLines="50" w:after="156" w:afterLines="50" w:line="360" w:lineRule="auto"/>
        <w:jc w:val="center"/>
        <w:rPr>
          <w:rFonts w:ascii="宋体" w:hAnsi="宋体"/>
          <w:b/>
          <w:sz w:val="72"/>
          <w:szCs w:val="72"/>
        </w:rPr>
      </w:pPr>
    </w:p>
    <w:p>
      <w:pPr>
        <w:spacing w:before="156" w:beforeLines="50" w:after="156" w:afterLines="50" w:line="360" w:lineRule="auto"/>
        <w:jc w:val="both"/>
        <w:rPr>
          <w:rFonts w:ascii="宋体" w:hAnsi="宋体"/>
          <w:b/>
          <w:sz w:val="72"/>
          <w:szCs w:val="72"/>
        </w:rPr>
      </w:pPr>
    </w:p>
    <w:p>
      <w:pPr>
        <w:spacing w:before="156" w:beforeLines="50" w:after="156" w:afterLines="50" w:line="360" w:lineRule="auto"/>
        <w:jc w:val="both"/>
        <w:rPr>
          <w:rFonts w:ascii="宋体" w:hAnsi="宋体"/>
          <w:b/>
          <w:sz w:val="72"/>
          <w:szCs w:val="72"/>
        </w:rPr>
      </w:pPr>
    </w:p>
    <w:p>
      <w:pPr>
        <w:spacing w:before="156" w:beforeLines="50" w:after="156" w:afterLines="5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二O二0年一月</w:t>
      </w:r>
    </w:p>
    <w:p>
      <w:pPr>
        <w:spacing w:before="156" w:beforeLines="50" w:after="156" w:afterLines="50" w:line="360" w:lineRule="auto"/>
        <w:rPr>
          <w:rFonts w:ascii="宋体" w:hAns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1 </w:t>
      </w:r>
      <w:r>
        <w:rPr>
          <w:rFonts w:ascii="宋体" w:hAnsi="宋体"/>
          <w:b/>
          <w:sz w:val="36"/>
          <w:szCs w:val="36"/>
        </w:rPr>
        <w:t>基本操作</w:t>
      </w:r>
    </w:p>
    <w:p>
      <w:pPr>
        <w:numPr>
          <w:ilvl w:val="1"/>
          <w:numId w:val="1"/>
        </w:numPr>
        <w:spacing w:line="360" w:lineRule="auto"/>
        <w:outlineLvl w:val="1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系统登录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打开</w:t>
      </w:r>
      <w:r>
        <w:rPr>
          <w:rFonts w:hint="eastAsia" w:ascii="宋体" w:hAnsi="宋体"/>
          <w:sz w:val="24"/>
          <w:szCs w:val="24"/>
          <w:lang w:val="en-US" w:eastAsia="zh-CN"/>
        </w:rPr>
        <w:t>手机端</w:t>
      </w:r>
      <w:r>
        <w:rPr>
          <w:rFonts w:hint="eastAsia" w:ascii="宋体" w:hAnsi="宋体"/>
          <w:sz w:val="24"/>
          <w:szCs w:val="24"/>
        </w:rPr>
        <w:t>企业微信</w:t>
      </w:r>
      <w:r>
        <w:rPr>
          <w:rFonts w:hint="eastAsia" w:ascii="宋体" w:hAnsi="宋体"/>
          <w:sz w:val="24"/>
          <w:szCs w:val="24"/>
          <w:lang w:val="en-US" w:eastAsia="zh-CN"/>
        </w:rPr>
        <w:t>APP或钉钉，选择页面下方的“</w:t>
      </w:r>
      <w:r>
        <w:rPr>
          <w:rFonts w:hint="eastAsia" w:ascii="宋体" w:hAnsi="宋体"/>
          <w:sz w:val="24"/>
          <w:szCs w:val="24"/>
        </w:rPr>
        <w:t>工作台</w:t>
      </w:r>
      <w:r>
        <w:rPr>
          <w:rFonts w:hint="eastAsia" w:ascii="宋体" w:hAnsi="宋体"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sz w:val="24"/>
          <w:szCs w:val="24"/>
        </w:rPr>
        <w:t>，点击校务服务</w:t>
      </w:r>
      <w:r>
        <w:rPr>
          <w:rFonts w:hint="eastAsia" w:ascii="宋体" w:hAnsi="宋体"/>
          <w:sz w:val="24"/>
          <w:szCs w:val="24"/>
          <w:lang w:val="en-US" w:eastAsia="zh-CN"/>
        </w:rPr>
        <w:t>应用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jc w:val="center"/>
      </w:pPr>
      <w:r>
        <w:drawing>
          <wp:inline distT="0" distB="0" distL="114300" distR="114300">
            <wp:extent cx="2161540" cy="3689350"/>
            <wp:effectExtent l="0" t="0" r="10160" b="6350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085340" cy="3620770"/>
            <wp:effectExtent l="0" t="0" r="10160" b="11430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企业微信登录入口                        钉钉登录入口</w:t>
      </w:r>
    </w:p>
    <w:p>
      <w:pPr>
        <w:spacing w:before="156" w:beforeLines="50" w:line="360" w:lineRule="auto"/>
        <w:outlineLvl w:val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1.2 界面布局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登录后的完整个人中心页面如图1.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所示，分别显示个人信息、我的待办与我的申请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通知公告和一周会议、OA邮件、推荐服务、常用链接</w:t>
      </w:r>
      <w:r>
        <w:rPr>
          <w:rFonts w:hint="eastAsia" w:ascii="宋体" w:hAnsi="宋体"/>
          <w:sz w:val="24"/>
          <w:szCs w:val="24"/>
        </w:rPr>
        <w:t>等各类办事事项。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drawing>
          <wp:inline distT="0" distB="0" distL="114300" distR="114300">
            <wp:extent cx="2208530" cy="3639185"/>
            <wp:effectExtent l="0" t="0" r="1270" b="571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246630" cy="3620135"/>
            <wp:effectExtent l="0" t="0" r="1270" b="12065"/>
            <wp:docPr id="24" name="图片 24" descr="16057655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0576552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80" w:firstLineChars="1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18"/>
          <w:szCs w:val="18"/>
        </w:rPr>
        <w:t>图1.</w:t>
      </w:r>
      <w:r>
        <w:rPr>
          <w:rFonts w:ascii="宋体" w:hAnsi="宋体" w:eastAsia="宋体"/>
          <w:b w:val="0"/>
          <w:bCs w:val="0"/>
          <w:sz w:val="18"/>
          <w:szCs w:val="18"/>
        </w:rPr>
        <w:t xml:space="preserve">1 </w:t>
      </w:r>
      <w:r>
        <w:rPr>
          <w:rFonts w:hint="eastAsia" w:ascii="宋体" w:hAnsi="宋体"/>
          <w:b w:val="0"/>
          <w:bCs w:val="0"/>
          <w:sz w:val="18"/>
          <w:szCs w:val="18"/>
        </w:rPr>
        <w:t>个人信息、我的待办与我的申请</w:t>
      </w:r>
      <w:r>
        <w:rPr>
          <w:rFonts w:hint="eastAsia" w:ascii="宋体" w:hAnsi="宋体" w:eastAsia="宋体"/>
          <w:b w:val="0"/>
          <w:bCs w:val="0"/>
          <w:sz w:val="18"/>
          <w:szCs w:val="18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>图1.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val="en-US" w:eastAsia="zh-CN"/>
        </w:rPr>
        <w:t>通知公告、一周会议、OA邮箱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247265" cy="3277235"/>
            <wp:effectExtent l="0" t="0" r="635" b="12065"/>
            <wp:docPr id="25" name="图片 25" descr="16057657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0576577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2175510" cy="3346450"/>
            <wp:effectExtent l="0" t="0" r="8890" b="6350"/>
            <wp:docPr id="26" name="图片 26" descr="16057658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05765815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260" w:firstLineChars="7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18"/>
          <w:szCs w:val="18"/>
        </w:rPr>
        <w:t>图1.</w:t>
      </w:r>
      <w:r>
        <w:rPr>
          <w:rFonts w:hint="eastAsia" w:ascii="宋体" w:hAnsi="宋体" w:eastAsia="宋体"/>
          <w:b w:val="0"/>
          <w:bCs w:val="0"/>
          <w:sz w:val="18"/>
          <w:szCs w:val="18"/>
          <w:lang w:val="en-US" w:eastAsia="zh-CN"/>
        </w:rPr>
        <w:t>3 常用服务</w:t>
      </w:r>
      <w:r>
        <w:rPr>
          <w:rFonts w:hint="eastAsia" w:ascii="宋体" w:hAnsi="宋体" w:eastAsia="宋体"/>
          <w:b w:val="0"/>
          <w:bCs w:val="0"/>
          <w:sz w:val="18"/>
          <w:szCs w:val="18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sz w:val="21"/>
          <w:szCs w:val="21"/>
        </w:rPr>
        <w:t>图1.</w:t>
      </w:r>
      <w:r>
        <w:rPr>
          <w:rFonts w:hint="eastAsia" w:ascii="宋体" w:hAnsi="宋体"/>
          <w:sz w:val="21"/>
          <w:szCs w:val="21"/>
          <w:lang w:val="en-US" w:eastAsia="zh-CN"/>
        </w:rPr>
        <w:t>4  常用链接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>
      <w:pPr>
        <w:spacing w:before="156" w:beforeLines="50" w:line="360" w:lineRule="auto"/>
        <w:outlineLvl w:val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1.3 切换功能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界面的右上角有个“三</w:t>
      </w:r>
      <w:r>
        <w:rPr>
          <w:rFonts w:ascii="宋体" w:hAnsi="宋体"/>
          <w:sz w:val="24"/>
          <w:szCs w:val="24"/>
        </w:rPr>
        <w:t>”图标，</w:t>
      </w:r>
      <w:r>
        <w:rPr>
          <w:rFonts w:hint="eastAsia" w:ascii="宋体" w:hAnsi="宋体"/>
          <w:sz w:val="24"/>
          <w:szCs w:val="24"/>
        </w:rPr>
        <w:t>点击显示菜单，可以切换到：个人中心、服务中心和事务中心，也可以注销登录，如</w:t>
      </w:r>
      <w:r>
        <w:rPr>
          <w:rFonts w:hint="eastAsia" w:ascii="宋体" w:hAnsi="宋体"/>
          <w:sz w:val="24"/>
          <w:szCs w:val="24"/>
          <w:lang w:val="en-US" w:eastAsia="zh-CN"/>
        </w:rPr>
        <w:t>下图</w:t>
      </w:r>
      <w:r>
        <w:rPr>
          <w:rFonts w:hint="eastAsia" w:ascii="宋体" w:hAnsi="宋体"/>
          <w:sz w:val="24"/>
          <w:szCs w:val="24"/>
        </w:rPr>
        <w:t>所示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468630</wp:posOffset>
                </wp:positionV>
                <wp:extent cx="965200" cy="1778000"/>
                <wp:effectExtent l="12700" t="12700" r="1270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0190" y="2627630"/>
                          <a:ext cx="965200" cy="17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2pt;margin-top:36.9pt;height:140pt;width:76pt;z-index:251660288;v-text-anchor:middle;mso-width-relative:page;mso-height-relative:page;" filled="f" stroked="t" coordsize="21600,21600" o:gfxdata="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8kwff2QAA&#10;AAsBAAAPAAAAAAAAAAEAIAAAACIAAABkcnMvZG93bnJldi54bWxQSwECFAAUAAAACACHTuJAoTtM&#10;CMgCAACqBQAADgAAAAAAAAABACAAAAAoAQAAZHJzL2Uyb0RvYy54bWxQSwUGAAAAAAYABgBZAQAA&#10;YgYAAAAA&#10;">
                <v:fill on="f" focussize="0,0"/>
                <v:stroke weight="2pt" color="#FF0000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799465</wp:posOffset>
                </wp:positionV>
                <wp:extent cx="901700" cy="2667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3290" y="2736215"/>
                          <a:ext cx="90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从此处点开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2pt;margin-top:62.95pt;height:21pt;width:71pt;z-index:251659264;mso-width-relative:page;mso-height-relative:page;" fillcolor="#FFFFFF [3201]" filled="t" stroked="f" coordsize="21600,21600" o:gfxdata="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mIEzHWAAAA&#10;CwEAAA8AAAAAAAAAAQAgAAAAIgAAAGRycy9kb3ducmV2LnhtbFBLAQIUABQAAAAIAIdO4kC3LjmG&#10;WAIAAJw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lang w:val="en-US" w:eastAsia="zh-CN"/>
                          <w14:textOutline w14:w="9525">
                            <w14:round/>
                          </w14:textOutline>
                        </w:rPr>
                        <w:t>从此处点开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2076450" cy="3466465"/>
            <wp:effectExtent l="0" t="0" r="6350" b="63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0" distR="0">
            <wp:extent cx="2340610" cy="3448050"/>
            <wp:effectExtent l="0" t="0" r="889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spacing w:before="312" w:beforeLines="100" w:line="360" w:lineRule="auto"/>
        <w:ind w:firstLine="480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服务中心的界面如图1.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所示，显示了目前上线的所有服务事项，可以通过顶部的搜索栏搜索服务事项，也可切换教职工服务和在校生服务。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业务直通车</w:t>
      </w:r>
      <w:r>
        <w:rPr>
          <w:rFonts w:hint="eastAsia" w:ascii="宋体" w:hAnsi="宋体"/>
          <w:b/>
          <w:bCs/>
          <w:sz w:val="24"/>
          <w:szCs w:val="24"/>
        </w:rPr>
        <w:t>的界面如图1.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  <w:szCs w:val="24"/>
        </w:rPr>
        <w:t>所示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可以链接到学校其他业务系统，如OA系统、教务系统、工资查询系统。</w:t>
      </w:r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drawing>
          <wp:inline distT="0" distB="0" distL="0" distR="0">
            <wp:extent cx="1981835" cy="2898775"/>
            <wp:effectExtent l="0" t="0" r="1206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941830" cy="2954020"/>
            <wp:effectExtent l="0" t="0" r="1270" b="5080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>
      <w:pPr>
        <w:spacing w:line="360" w:lineRule="auto"/>
        <w:ind w:firstLine="1050" w:firstLineChars="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 1.5 服务中心界面                       图1.6 业务直通车界面</w:t>
      </w:r>
    </w:p>
    <w:p>
      <w:pPr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事务中心的界面如图</w:t>
      </w: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所示，默认显示个人申请的所有服务事项，也可点右上角的“∨”图标显示其他类型的服务事项，如图1.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所示。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0" distR="0">
            <wp:extent cx="2235200" cy="3816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381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      </w:t>
      </w:r>
      <w:r>
        <w:drawing>
          <wp:inline distT="0" distB="0" distL="0" distR="0">
            <wp:extent cx="2146300" cy="37465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6410" cy="374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ordWrap w:val="0"/>
        <w:ind w:right="508" w:rightChars="242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图1.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7</w:t>
      </w:r>
      <w:r>
        <w:rPr>
          <w:rFonts w:ascii="宋体" w:hAnsi="宋体" w:eastAsia="宋体"/>
          <w:sz w:val="21"/>
          <w:szCs w:val="21"/>
        </w:rPr>
        <w:t xml:space="preserve"> 事务中心界面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/>
          <w:sz w:val="21"/>
          <w:szCs w:val="21"/>
        </w:rPr>
        <w:t xml:space="preserve">                  </w:t>
      </w:r>
      <w:r>
        <w:rPr>
          <w:rFonts w:hint="eastAsia" w:ascii="宋体" w:hAnsi="宋体" w:eastAsia="宋体"/>
          <w:sz w:val="21"/>
          <w:szCs w:val="21"/>
        </w:rPr>
        <w:t>图</w:t>
      </w:r>
      <w:r>
        <w:rPr>
          <w:rFonts w:ascii="宋体" w:hAnsi="宋体" w:eastAsia="宋体"/>
          <w:sz w:val="21"/>
          <w:szCs w:val="21"/>
        </w:rPr>
        <w:t>1.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8</w:t>
      </w:r>
      <w:r>
        <w:rPr>
          <w:rFonts w:ascii="宋体" w:hAnsi="宋体" w:eastAsia="宋体"/>
          <w:sz w:val="21"/>
          <w:szCs w:val="21"/>
        </w:rPr>
        <w:t xml:space="preserve"> 事务中心切换类型界面</w:t>
      </w:r>
    </w:p>
    <w:p>
      <w:pPr>
        <w:spacing w:before="468" w:beforeLines="150" w:line="360" w:lineRule="auto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 服务事项办理</w:t>
      </w:r>
    </w:p>
    <w:p>
      <w:pPr>
        <w:spacing w:line="360" w:lineRule="auto"/>
        <w:outlineLvl w:val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2.1 服务事项申请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如果服务事项在个人中心界面，直接点击服务事项的图标即可进入办理界面；如果服务事项在服务中心界面，首先点击该服务事项，出现功能选择，如图2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1所示。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选择“办事指南”，可以查看事项介绍、办事指南、办事流程、下载材料和在线评价，如图2.2</w:t>
      </w:r>
      <w:r>
        <w:rPr>
          <w:rFonts w:ascii="宋体" w:hAnsi="宋体"/>
          <w:sz w:val="24"/>
          <w:szCs w:val="24"/>
        </w:rPr>
        <w:t>-2.3所示。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选择“在线办理”，即可进入办理界面，如图</w:t>
      </w: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所示。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选择“评价”，可以对服务事项进行满意度评价。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0" distR="0">
            <wp:extent cx="1955165" cy="3835400"/>
            <wp:effectExtent l="0" t="0" r="698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9997" cy="386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      </w:t>
      </w:r>
      <w:r>
        <w:drawing>
          <wp:inline distT="0" distB="0" distL="0" distR="0">
            <wp:extent cx="2272665" cy="403225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5841" cy="403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 w:ascii="宋体" w:hAnsi="宋体" w:eastAsia="宋体"/>
          <w:sz w:val="21"/>
          <w:szCs w:val="21"/>
        </w:rPr>
        <w:t>图2.</w:t>
      </w:r>
      <w:r>
        <w:rPr>
          <w:rFonts w:ascii="宋体" w:hAnsi="宋体" w:eastAsia="宋体"/>
          <w:sz w:val="21"/>
          <w:szCs w:val="21"/>
        </w:rPr>
        <w:t>1 功能选择界面</w:t>
      </w:r>
      <w:r>
        <w:rPr>
          <w:rFonts w:hint="eastAsia" w:ascii="宋体" w:hAnsi="宋体" w:eastAsia="宋体"/>
          <w:sz w:val="21"/>
          <w:szCs w:val="21"/>
        </w:rPr>
        <w:t xml:space="preserve">        </w:t>
      </w:r>
      <w:r>
        <w:rPr>
          <w:rFonts w:ascii="宋体" w:hAnsi="宋体" w:eastAsia="宋体"/>
          <w:sz w:val="21"/>
          <w:szCs w:val="21"/>
        </w:rPr>
        <w:t xml:space="preserve">                  </w:t>
      </w:r>
      <w:r>
        <w:rPr>
          <w:rFonts w:hint="eastAsia" w:ascii="宋体" w:hAnsi="宋体" w:eastAsia="宋体"/>
          <w:sz w:val="21"/>
          <w:szCs w:val="21"/>
        </w:rPr>
        <w:t>图2.</w:t>
      </w:r>
      <w:r>
        <w:rPr>
          <w:rFonts w:ascii="宋体" w:hAnsi="宋体" w:eastAsia="宋体"/>
          <w:sz w:val="21"/>
          <w:szCs w:val="21"/>
        </w:rPr>
        <w:t>2 办事指南界面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0" distR="0">
            <wp:extent cx="2112645" cy="4025265"/>
            <wp:effectExtent l="0" t="0" r="825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402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drawing>
          <wp:inline distT="0" distB="0" distL="0" distR="0">
            <wp:extent cx="2092325" cy="3882390"/>
            <wp:effectExtent l="0" t="0" r="3175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图2.</w:t>
      </w:r>
      <w:r>
        <w:rPr>
          <w:rFonts w:ascii="宋体" w:hAnsi="宋体" w:eastAsia="宋体"/>
          <w:sz w:val="21"/>
          <w:szCs w:val="21"/>
        </w:rPr>
        <w:t>3 在线评价界面</w:t>
      </w:r>
      <w:r>
        <w:rPr>
          <w:rFonts w:hint="eastAsia" w:ascii="宋体" w:hAnsi="宋体" w:eastAsia="宋体"/>
          <w:sz w:val="21"/>
          <w:szCs w:val="21"/>
        </w:rPr>
        <w:t xml:space="preserve">        </w:t>
      </w:r>
      <w:r>
        <w:rPr>
          <w:rFonts w:ascii="宋体" w:hAnsi="宋体" w:eastAsia="宋体"/>
          <w:sz w:val="21"/>
          <w:szCs w:val="21"/>
        </w:rPr>
        <w:t xml:space="preserve">                  </w:t>
      </w:r>
      <w:r>
        <w:rPr>
          <w:rFonts w:hint="eastAsia" w:ascii="宋体" w:hAnsi="宋体" w:eastAsia="宋体"/>
          <w:sz w:val="21"/>
          <w:szCs w:val="21"/>
        </w:rPr>
        <w:t>图2.</w:t>
      </w:r>
      <w:r>
        <w:rPr>
          <w:rFonts w:ascii="宋体" w:hAnsi="宋体" w:eastAsia="宋体"/>
          <w:sz w:val="21"/>
          <w:szCs w:val="21"/>
        </w:rPr>
        <w:t>4 在线办理界面</w:t>
      </w:r>
    </w:p>
    <w:p>
      <w:pPr>
        <w:spacing w:before="312" w:beforeLines="10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办理界面填写完相关信息后，点击左上角的【提交申请】按钮，即完成服务事项的申请，系统会给申请人及审批人发送提醒短信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before="156" w:beforeLines="50" w:line="360" w:lineRule="auto"/>
        <w:outlineLvl w:val="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2.2 服务事项审批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审批人登录系统后，在个人中心界面的“我的待办”栏目可以查询需要审批的事项。点击某个待办事项后会显示申请内容，如图2.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所示。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如果同意申请，点击左上角的【提交审批】按钮，在弹出的界面中输入审批意见，也可从常用语中选择意见，然后点【确定】按钮完成审批，如图</w:t>
      </w: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所示</w:t>
      </w:r>
      <w:r>
        <w:rPr>
          <w:rFonts w:ascii="宋体" w:hAnsi="宋体"/>
          <w:sz w:val="24"/>
          <w:szCs w:val="24"/>
        </w:rPr>
        <w:t>。如果流程结束，则给申请人发送申请审批通过的短信；如果流程未结束，则给下一个审批人发送审批提醒短信。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如果不同意申请，则点击上方的【退回到发起人】按钮，在弹出的界面中输入拒绝意见，然后点【确定】按钮即可退回到发起人。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0" distR="0">
            <wp:extent cx="1881505" cy="3625850"/>
            <wp:effectExtent l="0" t="0" r="444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87315" cy="363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       </w:t>
      </w:r>
      <w:r>
        <w:drawing>
          <wp:inline distT="0" distB="0" distL="0" distR="0">
            <wp:extent cx="2098040" cy="34734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06446" cy="348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图2.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事项内容</w:t>
      </w:r>
      <w:r>
        <w:rPr>
          <w:rFonts w:ascii="宋体" w:hAnsi="宋体" w:eastAsia="宋体"/>
          <w:sz w:val="21"/>
          <w:szCs w:val="21"/>
        </w:rPr>
        <w:t>界面</w:t>
      </w:r>
      <w:r>
        <w:rPr>
          <w:rFonts w:hint="eastAsia" w:ascii="宋体" w:hAnsi="宋体" w:eastAsia="宋体"/>
          <w:sz w:val="21"/>
          <w:szCs w:val="21"/>
        </w:rPr>
        <w:t xml:space="preserve">        </w:t>
      </w:r>
      <w:r>
        <w:rPr>
          <w:rFonts w:ascii="宋体" w:hAnsi="宋体" w:eastAsia="宋体"/>
          <w:sz w:val="21"/>
          <w:szCs w:val="21"/>
        </w:rPr>
        <w:t xml:space="preserve">                  </w:t>
      </w:r>
      <w:r>
        <w:rPr>
          <w:rFonts w:hint="eastAsia" w:ascii="宋体" w:hAnsi="宋体" w:eastAsia="宋体"/>
          <w:sz w:val="21"/>
          <w:szCs w:val="21"/>
        </w:rPr>
        <w:t>图2.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6</w:t>
      </w:r>
      <w:r>
        <w:rPr>
          <w:rFonts w:ascii="宋体" w:hAnsi="宋体" w:eastAsia="宋体"/>
          <w:sz w:val="21"/>
          <w:szCs w:val="21"/>
        </w:rPr>
        <w:t xml:space="preserve"> 审批同意界面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1"/>
                        <w:szCs w:val="21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40163"/>
    <w:multiLevelType w:val="multilevel"/>
    <w:tmpl w:val="94540163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7F"/>
    <w:rsid w:val="001211B2"/>
    <w:rsid w:val="001468A6"/>
    <w:rsid w:val="00160EEF"/>
    <w:rsid w:val="00216D71"/>
    <w:rsid w:val="005739C3"/>
    <w:rsid w:val="006C0D8C"/>
    <w:rsid w:val="0079320F"/>
    <w:rsid w:val="007F1E76"/>
    <w:rsid w:val="00A63F4D"/>
    <w:rsid w:val="00B31485"/>
    <w:rsid w:val="00B3687F"/>
    <w:rsid w:val="00CB7F66"/>
    <w:rsid w:val="00D36550"/>
    <w:rsid w:val="00DA332D"/>
    <w:rsid w:val="00E20C0A"/>
    <w:rsid w:val="0425538B"/>
    <w:rsid w:val="043C3739"/>
    <w:rsid w:val="05DB1AB4"/>
    <w:rsid w:val="06D06555"/>
    <w:rsid w:val="0D5D7C70"/>
    <w:rsid w:val="10684F13"/>
    <w:rsid w:val="15201A90"/>
    <w:rsid w:val="1594345C"/>
    <w:rsid w:val="165172BB"/>
    <w:rsid w:val="19001E45"/>
    <w:rsid w:val="19136C33"/>
    <w:rsid w:val="196E05F4"/>
    <w:rsid w:val="198A7810"/>
    <w:rsid w:val="1C7B149C"/>
    <w:rsid w:val="1CF71D92"/>
    <w:rsid w:val="1D5240FA"/>
    <w:rsid w:val="21214FE9"/>
    <w:rsid w:val="2400318A"/>
    <w:rsid w:val="29293E7B"/>
    <w:rsid w:val="31E74074"/>
    <w:rsid w:val="35164846"/>
    <w:rsid w:val="3D2A23D7"/>
    <w:rsid w:val="45C84DAB"/>
    <w:rsid w:val="58FF6B26"/>
    <w:rsid w:val="5AA958EF"/>
    <w:rsid w:val="5B6E4E4F"/>
    <w:rsid w:val="5FC6541D"/>
    <w:rsid w:val="606C7089"/>
    <w:rsid w:val="67921823"/>
    <w:rsid w:val="69CA1131"/>
    <w:rsid w:val="6DA1399F"/>
    <w:rsid w:val="715F316C"/>
    <w:rsid w:val="7AF84A1A"/>
    <w:rsid w:val="7BF2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Arial" w:hAnsi="Arial" w:eastAsia="黑体"/>
      <w:sz w:val="2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uiPriority w:val="99"/>
    <w:rPr>
      <w:color w:val="0563C1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192</Words>
  <Characters>1101</Characters>
  <Lines>9</Lines>
  <Paragraphs>2</Paragraphs>
  <TotalTime>14</TotalTime>
  <ScaleCrop>false</ScaleCrop>
  <LinksUpToDate>false</LinksUpToDate>
  <CharactersWithSpaces>1291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2019-04-03T00:57:00Z</dcterms:created>
  <dc:creator>lloach lloach</dc:creator>
  <cp:lastModifiedBy>chp</cp:lastModifiedBy>
  <cp:lastPrinted>2019-10-16T08:43:00Z</cp:lastPrinted>
  <dcterms:modified xsi:type="dcterms:W3CDTF">2020-11-19T07:12:09Z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